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F8B5" w14:textId="7150607A" w:rsidR="00E06E67" w:rsidRPr="00FC32DA" w:rsidRDefault="00E06E67" w:rsidP="00A04EC8">
      <w:pPr>
        <w:spacing w:after="0" w:line="240" w:lineRule="auto"/>
        <w:jc w:val="right"/>
        <w:rPr>
          <w:iCs/>
          <w:sz w:val="28"/>
          <w:szCs w:val="28"/>
        </w:rPr>
      </w:pPr>
      <w:r w:rsidRPr="00FC32DA">
        <w:rPr>
          <w:iCs/>
          <w:sz w:val="28"/>
          <w:szCs w:val="28"/>
        </w:rPr>
        <w:t>Likumprojekts</w:t>
      </w:r>
    </w:p>
    <w:p w14:paraId="757F048D" w14:textId="77777777" w:rsidR="00F9424B" w:rsidRPr="00FC32DA" w:rsidRDefault="00F9424B" w:rsidP="004116BB">
      <w:pPr>
        <w:spacing w:after="0" w:line="240" w:lineRule="auto"/>
        <w:jc w:val="both"/>
        <w:rPr>
          <w:sz w:val="28"/>
          <w:szCs w:val="28"/>
        </w:rPr>
      </w:pPr>
    </w:p>
    <w:p w14:paraId="24DE9C65" w14:textId="17171F51" w:rsidR="007E2AEF" w:rsidRPr="00FC32DA" w:rsidRDefault="007E2AEF" w:rsidP="00A04EC8">
      <w:pPr>
        <w:spacing w:after="0" w:line="240" w:lineRule="auto"/>
        <w:jc w:val="center"/>
        <w:rPr>
          <w:b/>
          <w:sz w:val="28"/>
          <w:szCs w:val="28"/>
        </w:rPr>
      </w:pPr>
      <w:r w:rsidRPr="00FC32DA">
        <w:rPr>
          <w:b/>
          <w:sz w:val="28"/>
          <w:szCs w:val="28"/>
        </w:rPr>
        <w:t xml:space="preserve">Grozījumi </w:t>
      </w:r>
      <w:r w:rsidR="003B6F32" w:rsidRPr="00FC32DA">
        <w:rPr>
          <w:b/>
          <w:sz w:val="28"/>
          <w:szCs w:val="28"/>
        </w:rPr>
        <w:t>Finanšu instrumentu tirgus likumā</w:t>
      </w:r>
    </w:p>
    <w:p w14:paraId="786FFAEA" w14:textId="77777777" w:rsidR="00FD6A89" w:rsidRPr="00FC32DA" w:rsidRDefault="00FD6A89" w:rsidP="004116BB">
      <w:pPr>
        <w:spacing w:after="0" w:line="240" w:lineRule="auto"/>
        <w:jc w:val="both"/>
        <w:rPr>
          <w:sz w:val="28"/>
          <w:szCs w:val="28"/>
        </w:rPr>
      </w:pPr>
    </w:p>
    <w:p w14:paraId="0B229C3F" w14:textId="42629C41" w:rsidR="00E06E67" w:rsidRPr="00FC32DA" w:rsidRDefault="00E06E67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 xml:space="preserve">Izdarīt </w:t>
      </w:r>
      <w:r w:rsidR="003B6F32" w:rsidRPr="00FC32DA">
        <w:rPr>
          <w:sz w:val="28"/>
          <w:szCs w:val="28"/>
        </w:rPr>
        <w:t xml:space="preserve">Finanšu instrumentu tirgus </w:t>
      </w:r>
      <w:r w:rsidR="005C00F4" w:rsidRPr="00FC32DA">
        <w:rPr>
          <w:sz w:val="28"/>
          <w:szCs w:val="28"/>
        </w:rPr>
        <w:t xml:space="preserve">likumā </w:t>
      </w:r>
      <w:r w:rsidR="003B6F32" w:rsidRPr="00FC32DA">
        <w:rPr>
          <w:sz w:val="28"/>
          <w:szCs w:val="28"/>
        </w:rPr>
        <w:t>(Latvijas Republikas Saeimas un Ministru Kabineta Ziņotājs, 2004, 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2005, 10., 14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2006, 14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2007, 10., 22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2008, 13., 14., 23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2009, 7., 22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Latvijas Vēstnesis, 2011, 16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2012, 56., 100., 186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2013, 142., 193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2014, 92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2015, 124., 222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2016, 31., 115., 254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2017, 196., 222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2018, 132</w:t>
      </w:r>
      <w:r w:rsidR="004116BB" w:rsidRPr="00FC32DA">
        <w:rPr>
          <w:sz w:val="28"/>
          <w:szCs w:val="28"/>
        </w:rPr>
        <w:t>. </w:t>
      </w:r>
      <w:r w:rsidR="003B6F32" w:rsidRPr="00FC32DA">
        <w:rPr>
          <w:sz w:val="28"/>
          <w:szCs w:val="28"/>
        </w:rPr>
        <w:t>nr.; 2019, 52., 132., 257</w:t>
      </w:r>
      <w:r w:rsidR="004116BB" w:rsidRPr="00FC32DA">
        <w:rPr>
          <w:sz w:val="28"/>
          <w:szCs w:val="28"/>
        </w:rPr>
        <w:t>A</w:t>
      </w:r>
      <w:r w:rsidR="003B6F32" w:rsidRPr="00FC32DA">
        <w:rPr>
          <w:sz w:val="28"/>
          <w:szCs w:val="28"/>
        </w:rPr>
        <w:t>.</w:t>
      </w:r>
      <w:r w:rsidR="004116BB" w:rsidRPr="00FC32DA">
        <w:rPr>
          <w:sz w:val="28"/>
          <w:szCs w:val="28"/>
        </w:rPr>
        <w:t> </w:t>
      </w:r>
      <w:r w:rsidR="003B6F32" w:rsidRPr="00FC32DA">
        <w:rPr>
          <w:sz w:val="28"/>
          <w:szCs w:val="28"/>
        </w:rPr>
        <w:t>nr.</w:t>
      </w:r>
      <w:r w:rsidR="00350511" w:rsidRPr="00FC32DA">
        <w:rPr>
          <w:sz w:val="28"/>
          <w:szCs w:val="28"/>
        </w:rPr>
        <w:t>; 2020, 119A</w:t>
      </w:r>
      <w:r w:rsidR="004116BB" w:rsidRPr="00FC32DA">
        <w:rPr>
          <w:sz w:val="28"/>
          <w:szCs w:val="28"/>
        </w:rPr>
        <w:t>. </w:t>
      </w:r>
      <w:r w:rsidR="00350511" w:rsidRPr="00FC32DA">
        <w:rPr>
          <w:sz w:val="28"/>
          <w:szCs w:val="28"/>
        </w:rPr>
        <w:t>nr.</w:t>
      </w:r>
      <w:r w:rsidR="004116BB" w:rsidRPr="00FC32DA">
        <w:rPr>
          <w:sz w:val="28"/>
          <w:szCs w:val="28"/>
          <w:shd w:val="clear" w:color="auto" w:fill="FFFFFF"/>
        </w:rPr>
        <w:t xml:space="preserve">) </w:t>
      </w:r>
      <w:r w:rsidRPr="00FC32DA">
        <w:rPr>
          <w:sz w:val="28"/>
          <w:szCs w:val="28"/>
        </w:rPr>
        <w:t>šādus grozījumus:</w:t>
      </w:r>
    </w:p>
    <w:p w14:paraId="43CC1724" w14:textId="77777777" w:rsidR="00462734" w:rsidRPr="00FC32DA" w:rsidRDefault="00462734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0FE6A87" w14:textId="621E9289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1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Izteikt 1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panta pirmās daļas 26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 xml:space="preserve">punkta </w:t>
      </w:r>
      <w:r w:rsidR="00A04EC8" w:rsidRPr="00FC32DA">
        <w:rPr>
          <w:sz w:val="28"/>
          <w:szCs w:val="28"/>
        </w:rPr>
        <w:t>"</w:t>
      </w:r>
      <w:r w:rsidRPr="00FC32DA">
        <w:rPr>
          <w:sz w:val="28"/>
          <w:szCs w:val="28"/>
        </w:rPr>
        <w:t>c</w:t>
      </w:r>
      <w:r w:rsidR="00A04EC8" w:rsidRPr="00FC32DA">
        <w:rPr>
          <w:sz w:val="28"/>
          <w:szCs w:val="28"/>
        </w:rPr>
        <w:t>"</w:t>
      </w:r>
      <w:r w:rsidR="004116BB" w:rsidRPr="00FC32DA">
        <w:rPr>
          <w:sz w:val="28"/>
          <w:szCs w:val="28"/>
        </w:rPr>
        <w:t> </w:t>
      </w:r>
      <w:r w:rsidRPr="00FC32DA">
        <w:rPr>
          <w:sz w:val="28"/>
          <w:szCs w:val="28"/>
        </w:rPr>
        <w:t xml:space="preserve">apakšpunktu šādā redakcijā: </w:t>
      </w:r>
    </w:p>
    <w:p w14:paraId="19EFF610" w14:textId="77777777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B4997EF" w14:textId="53006979" w:rsidR="001F355A" w:rsidRPr="00FC32DA" w:rsidRDefault="00A04EC8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"</w:t>
      </w:r>
      <w:r w:rsidR="001F355A" w:rsidRPr="00FC32DA">
        <w:rPr>
          <w:sz w:val="28"/>
          <w:szCs w:val="28"/>
        </w:rPr>
        <w:t>c</w:t>
      </w:r>
      <w:r w:rsidR="004116BB" w:rsidRPr="00FC32DA">
        <w:rPr>
          <w:sz w:val="28"/>
          <w:szCs w:val="28"/>
        </w:rPr>
        <w:t>) </w:t>
      </w:r>
      <w:r w:rsidR="00C8169D" w:rsidRPr="00FC32DA">
        <w:rPr>
          <w:sz w:val="28"/>
          <w:szCs w:val="28"/>
        </w:rPr>
        <w:t>uzkrātā summa (</w:t>
      </w:r>
      <w:r w:rsidR="001F355A" w:rsidRPr="00FC32DA">
        <w:rPr>
          <w:sz w:val="28"/>
          <w:szCs w:val="28"/>
        </w:rPr>
        <w:t>rezultāts</w:t>
      </w:r>
      <w:r w:rsidR="00C8169D" w:rsidRPr="00FC32DA">
        <w:rPr>
          <w:sz w:val="28"/>
          <w:szCs w:val="28"/>
        </w:rPr>
        <w:t>)</w:t>
      </w:r>
      <w:r w:rsidR="001F355A" w:rsidRPr="00FC32DA">
        <w:rPr>
          <w:sz w:val="28"/>
          <w:szCs w:val="28"/>
        </w:rPr>
        <w:t xml:space="preserve"> pārējos apvienotajos ienākumos,</w:t>
      </w:r>
      <w:r w:rsidRPr="00FC32DA">
        <w:rPr>
          <w:sz w:val="28"/>
          <w:szCs w:val="28"/>
        </w:rPr>
        <w:t>"</w:t>
      </w:r>
      <w:r w:rsidR="001F355A" w:rsidRPr="00FC32DA">
        <w:rPr>
          <w:sz w:val="28"/>
          <w:szCs w:val="28"/>
        </w:rPr>
        <w:t>.</w:t>
      </w:r>
    </w:p>
    <w:p w14:paraId="71566BF6" w14:textId="77777777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B78A8CA" w14:textId="534C535B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.  </w:t>
      </w:r>
      <w:r w:rsidRPr="00FC32DA">
        <w:rPr>
          <w:sz w:val="28"/>
          <w:szCs w:val="28"/>
        </w:rPr>
        <w:t>10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pantā:</w:t>
      </w:r>
    </w:p>
    <w:p w14:paraId="7EF020ED" w14:textId="51DB340D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papildināt 1.</w:t>
      </w:r>
      <w:r w:rsidRPr="00FC32DA">
        <w:rPr>
          <w:sz w:val="28"/>
          <w:szCs w:val="28"/>
          <w:vertAlign w:val="superscript"/>
        </w:rPr>
        <w:t>2</w:t>
      </w:r>
      <w:r w:rsidR="004116BB" w:rsidRPr="00FC32DA">
        <w:rPr>
          <w:sz w:val="28"/>
          <w:szCs w:val="28"/>
          <w:vertAlign w:val="superscript"/>
        </w:rPr>
        <w:t> </w:t>
      </w:r>
      <w:r w:rsidRPr="00FC32DA">
        <w:rPr>
          <w:sz w:val="28"/>
          <w:szCs w:val="28"/>
        </w:rPr>
        <w:t xml:space="preserve">daļu </w:t>
      </w:r>
      <w:r w:rsidR="007A44E0" w:rsidRPr="00FC32DA">
        <w:rPr>
          <w:sz w:val="28"/>
          <w:szCs w:val="28"/>
        </w:rPr>
        <w:t xml:space="preserve">pēc </w:t>
      </w:r>
      <w:r w:rsidRPr="00FC32DA">
        <w:rPr>
          <w:sz w:val="28"/>
          <w:szCs w:val="28"/>
        </w:rPr>
        <w:t xml:space="preserve">vārda </w:t>
      </w:r>
      <w:r w:rsidR="00A04EC8" w:rsidRPr="00FC32DA">
        <w:rPr>
          <w:sz w:val="28"/>
          <w:szCs w:val="28"/>
        </w:rPr>
        <w:t>"</w:t>
      </w:r>
      <w:r w:rsidRPr="00FC32DA">
        <w:rPr>
          <w:sz w:val="28"/>
          <w:szCs w:val="28"/>
        </w:rPr>
        <w:t>otro</w:t>
      </w:r>
      <w:r w:rsidR="00A04EC8" w:rsidRPr="00FC32DA">
        <w:rPr>
          <w:sz w:val="28"/>
          <w:szCs w:val="28"/>
        </w:rPr>
        <w:t>"</w:t>
      </w:r>
      <w:r w:rsidRPr="00FC32DA">
        <w:rPr>
          <w:sz w:val="28"/>
          <w:szCs w:val="28"/>
        </w:rPr>
        <w:t xml:space="preserve"> ar vārdu un skaitli </w:t>
      </w:r>
      <w:r w:rsidR="00A04EC8" w:rsidRPr="00FC32DA">
        <w:rPr>
          <w:sz w:val="28"/>
          <w:szCs w:val="28"/>
        </w:rPr>
        <w:t>"</w:t>
      </w:r>
      <w:r w:rsidRPr="00FC32DA">
        <w:rPr>
          <w:sz w:val="28"/>
          <w:szCs w:val="28"/>
        </w:rPr>
        <w:t>un 2.</w:t>
      </w:r>
      <w:r w:rsidRPr="00FC32DA">
        <w:rPr>
          <w:sz w:val="28"/>
          <w:szCs w:val="28"/>
          <w:vertAlign w:val="superscript"/>
        </w:rPr>
        <w:t>1</w:t>
      </w:r>
      <w:r w:rsidR="00A04EC8" w:rsidRPr="00FC32DA">
        <w:rPr>
          <w:sz w:val="28"/>
          <w:szCs w:val="28"/>
        </w:rPr>
        <w:t>"</w:t>
      </w:r>
      <w:r w:rsidRPr="00FC32DA">
        <w:rPr>
          <w:sz w:val="28"/>
          <w:szCs w:val="28"/>
        </w:rPr>
        <w:t>;</w:t>
      </w:r>
    </w:p>
    <w:p w14:paraId="7EC4AEF5" w14:textId="3446FF2C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 xml:space="preserve">papildināt </w:t>
      </w:r>
      <w:r w:rsidR="001E1649" w:rsidRPr="00FC32DA">
        <w:rPr>
          <w:sz w:val="28"/>
          <w:szCs w:val="28"/>
        </w:rPr>
        <w:t xml:space="preserve">pantu </w:t>
      </w:r>
      <w:r w:rsidRPr="00FC32DA">
        <w:rPr>
          <w:sz w:val="28"/>
          <w:szCs w:val="28"/>
        </w:rPr>
        <w:t>ar 2.</w:t>
      </w:r>
      <w:r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  <w:vertAlign w:val="superscript"/>
        </w:rPr>
        <w:t> </w:t>
      </w:r>
      <w:r w:rsidRPr="00FC32DA">
        <w:rPr>
          <w:sz w:val="28"/>
          <w:szCs w:val="28"/>
        </w:rPr>
        <w:t>daļu šādā redakcijā:</w:t>
      </w:r>
    </w:p>
    <w:p w14:paraId="1D7549A9" w14:textId="77777777" w:rsidR="00030697" w:rsidRPr="00FC32DA" w:rsidRDefault="00030697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A78F66C" w14:textId="1CC56B61" w:rsidR="001F355A" w:rsidRPr="00FC32DA" w:rsidRDefault="00A04EC8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Hlk61954484"/>
      <w:r w:rsidRPr="00FC32DA">
        <w:rPr>
          <w:sz w:val="28"/>
          <w:szCs w:val="28"/>
        </w:rPr>
        <w:t>"</w:t>
      </w:r>
      <w:r w:rsidR="001F355A" w:rsidRPr="00FC32DA">
        <w:rPr>
          <w:sz w:val="28"/>
          <w:szCs w:val="28"/>
        </w:rPr>
        <w:t>(2</w:t>
      </w:r>
      <w:r w:rsidR="001F355A"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</w:rPr>
        <w:t>) </w:t>
      </w:r>
      <w:r w:rsidR="001F355A" w:rsidRPr="00FC32DA">
        <w:rPr>
          <w:sz w:val="28"/>
          <w:szCs w:val="28"/>
        </w:rPr>
        <w:t xml:space="preserve">Ja </w:t>
      </w:r>
      <w:r w:rsidR="00C8169D" w:rsidRPr="00FC32DA">
        <w:rPr>
          <w:sz w:val="28"/>
          <w:szCs w:val="28"/>
        </w:rPr>
        <w:t>personu</w:t>
      </w:r>
      <w:r w:rsidR="001F355A" w:rsidRPr="00FC32DA">
        <w:rPr>
          <w:sz w:val="28"/>
          <w:szCs w:val="28"/>
        </w:rPr>
        <w:t xml:space="preserve">, </w:t>
      </w:r>
      <w:r w:rsidR="001E1649" w:rsidRPr="00FC32DA">
        <w:rPr>
          <w:sz w:val="28"/>
          <w:szCs w:val="28"/>
        </w:rPr>
        <w:t xml:space="preserve">kura </w:t>
      </w:r>
      <w:r w:rsidR="001F355A" w:rsidRPr="00FC32DA">
        <w:rPr>
          <w:sz w:val="28"/>
          <w:szCs w:val="28"/>
        </w:rPr>
        <w:t xml:space="preserve">vēlas iegūt </w:t>
      </w:r>
      <w:r w:rsidR="001E1649" w:rsidRPr="00FC32DA">
        <w:rPr>
          <w:sz w:val="28"/>
          <w:szCs w:val="28"/>
        </w:rPr>
        <w:t xml:space="preserve">būtisku </w:t>
      </w:r>
      <w:r w:rsidR="001F355A" w:rsidRPr="00FC32DA">
        <w:rPr>
          <w:sz w:val="28"/>
          <w:szCs w:val="28"/>
        </w:rPr>
        <w:t xml:space="preserve">līdzdalību, vienlaikus citā dalībvalstī izvērtē atbilstoši </w:t>
      </w:r>
      <w:r w:rsidR="001E1649" w:rsidRPr="00FC32DA">
        <w:rPr>
          <w:sz w:val="28"/>
          <w:szCs w:val="28"/>
        </w:rPr>
        <w:t xml:space="preserve">šā likuma </w:t>
      </w:r>
      <w:r w:rsidR="001F355A" w:rsidRPr="00FC32DA">
        <w:rPr>
          <w:sz w:val="28"/>
          <w:szCs w:val="28"/>
        </w:rPr>
        <w:t>10.</w:t>
      </w:r>
      <w:r w:rsidR="001F355A" w:rsidRPr="00FC32DA">
        <w:rPr>
          <w:sz w:val="28"/>
          <w:szCs w:val="28"/>
          <w:vertAlign w:val="superscript"/>
        </w:rPr>
        <w:t>1 </w:t>
      </w:r>
      <w:r w:rsidR="001F355A" w:rsidRPr="00FC32DA">
        <w:rPr>
          <w:sz w:val="28"/>
          <w:szCs w:val="28"/>
        </w:rPr>
        <w:t>pantam</w:t>
      </w:r>
      <w:r w:rsidR="00D1614B" w:rsidRPr="00FC32DA">
        <w:rPr>
          <w:sz w:val="28"/>
          <w:szCs w:val="28"/>
        </w:rPr>
        <w:t xml:space="preserve"> attiecībā uz atļaujas piešķiršanu</w:t>
      </w:r>
      <w:r w:rsidR="001F355A" w:rsidRPr="00FC32DA">
        <w:rPr>
          <w:sz w:val="28"/>
          <w:szCs w:val="28"/>
        </w:rPr>
        <w:t>, Komisijai ir tiesības pārtraukt vērtēšanas periodu līdz dienai, kad attiecīgās dalībvalsts konsolidētās uzraudzības institūcija pabeidz izvērtēšanu.</w:t>
      </w:r>
      <w:r w:rsidRPr="00FC32DA">
        <w:rPr>
          <w:sz w:val="28"/>
          <w:szCs w:val="28"/>
        </w:rPr>
        <w:t>"</w:t>
      </w:r>
    </w:p>
    <w:bookmarkEnd w:id="0"/>
    <w:p w14:paraId="6D926C2B" w14:textId="77777777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54C8CC8" w14:textId="11CB52C4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3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Papildināt likumu ar 10.</w:t>
      </w:r>
      <w:r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</w:rPr>
        <w:t xml:space="preserve"> </w:t>
      </w:r>
      <w:r w:rsidRPr="00FC32DA">
        <w:rPr>
          <w:sz w:val="28"/>
          <w:szCs w:val="28"/>
        </w:rPr>
        <w:t>un 10.</w:t>
      </w:r>
      <w:r w:rsidRPr="00FC32DA">
        <w:rPr>
          <w:sz w:val="28"/>
          <w:szCs w:val="28"/>
          <w:vertAlign w:val="superscript"/>
        </w:rPr>
        <w:t>2</w:t>
      </w:r>
      <w:r w:rsidR="004116BB" w:rsidRPr="00FC32DA">
        <w:rPr>
          <w:sz w:val="28"/>
          <w:szCs w:val="28"/>
          <w:vertAlign w:val="superscript"/>
        </w:rPr>
        <w:t> </w:t>
      </w:r>
      <w:r w:rsidRPr="00FC32DA">
        <w:rPr>
          <w:sz w:val="28"/>
          <w:szCs w:val="28"/>
        </w:rPr>
        <w:t>pantu šādā redakcijā:</w:t>
      </w:r>
    </w:p>
    <w:p w14:paraId="76152D6B" w14:textId="77777777" w:rsidR="001E7BD3" w:rsidRPr="00FC32DA" w:rsidRDefault="001E7BD3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4C1A283" w14:textId="35CFD760" w:rsidR="001F355A" w:rsidRPr="00FC32DA" w:rsidRDefault="00A04EC8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"</w:t>
      </w:r>
      <w:bookmarkStart w:id="1" w:name="a_FITL_10_1"/>
      <w:r w:rsidR="001F355A" w:rsidRPr="00FC32DA">
        <w:rPr>
          <w:rFonts w:eastAsiaTheme="minorHAnsi"/>
          <w:b/>
          <w:sz w:val="28"/>
          <w:szCs w:val="28"/>
          <w:lang w:eastAsia="en-US"/>
        </w:rPr>
        <w:t>10.</w:t>
      </w:r>
      <w:r w:rsidR="001F355A" w:rsidRPr="00FC32DA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="004116BB" w:rsidRPr="00FC32DA">
        <w:rPr>
          <w:rFonts w:eastAsiaTheme="minorHAnsi"/>
          <w:b/>
          <w:sz w:val="28"/>
          <w:szCs w:val="28"/>
          <w:vertAlign w:val="superscript"/>
          <w:lang w:eastAsia="en-US"/>
        </w:rPr>
        <w:t> </w:t>
      </w:r>
      <w:r w:rsidR="001F355A" w:rsidRPr="00FC32DA">
        <w:rPr>
          <w:rFonts w:eastAsiaTheme="minorHAnsi"/>
          <w:b/>
          <w:sz w:val="28"/>
          <w:szCs w:val="28"/>
          <w:lang w:eastAsia="en-US"/>
        </w:rPr>
        <w:t>pants</w:t>
      </w:r>
      <w:r w:rsidR="004116BB" w:rsidRPr="00FC32DA">
        <w:rPr>
          <w:rFonts w:eastAsiaTheme="minorHAnsi"/>
          <w:b/>
          <w:sz w:val="28"/>
          <w:szCs w:val="28"/>
          <w:lang w:eastAsia="en-US"/>
        </w:rPr>
        <w:t>.</w:t>
      </w:r>
      <w:r w:rsidR="007147D5" w:rsidRPr="00FC32DA">
        <w:rPr>
          <w:rFonts w:eastAsiaTheme="minorHAnsi"/>
          <w:b/>
          <w:sz w:val="28"/>
          <w:szCs w:val="28"/>
          <w:lang w:eastAsia="en-US"/>
        </w:rPr>
        <w:t> </w:t>
      </w:r>
      <w:bookmarkEnd w:id="1"/>
      <w:r w:rsidR="001F355A" w:rsidRPr="00FC32DA">
        <w:rPr>
          <w:rFonts w:eastAsiaTheme="minorHAnsi"/>
          <w:b/>
          <w:sz w:val="28"/>
          <w:szCs w:val="28"/>
          <w:lang w:eastAsia="en-US"/>
        </w:rPr>
        <w:t xml:space="preserve">Papildu prasības </w:t>
      </w:r>
      <w:proofErr w:type="spellStart"/>
      <w:r w:rsidR="001F355A" w:rsidRPr="00FC32DA">
        <w:rPr>
          <w:rFonts w:eastAsiaTheme="minorHAnsi"/>
          <w:b/>
          <w:sz w:val="28"/>
          <w:szCs w:val="28"/>
          <w:lang w:eastAsia="en-US"/>
        </w:rPr>
        <w:t>pārvaldītājsabiedrībām</w:t>
      </w:r>
      <w:proofErr w:type="spellEnd"/>
    </w:p>
    <w:p w14:paraId="13842481" w14:textId="138B884E" w:rsidR="001F355A" w:rsidRPr="00FC32DA" w:rsidRDefault="001F355A" w:rsidP="004116BB">
      <w:pPr>
        <w:pStyle w:val="labojumupamats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 w:eastAsia="en-US"/>
        </w:rPr>
      </w:pPr>
      <w:r w:rsidRPr="00FC32DA">
        <w:rPr>
          <w:rFonts w:eastAsiaTheme="minorHAnsi"/>
          <w:sz w:val="28"/>
          <w:szCs w:val="28"/>
          <w:lang w:val="lv-LV" w:eastAsia="en-US"/>
        </w:rPr>
        <w:t>(1</w:t>
      </w:r>
      <w:r w:rsidR="004116BB" w:rsidRPr="00FC32DA">
        <w:rPr>
          <w:rFonts w:eastAsiaTheme="minorHAnsi"/>
          <w:sz w:val="28"/>
          <w:szCs w:val="28"/>
          <w:lang w:val="lv-LV" w:eastAsia="en-US"/>
        </w:rPr>
        <w:t>) </w:t>
      </w:r>
      <w:r w:rsidRPr="00FC32DA">
        <w:rPr>
          <w:rFonts w:eastAsiaTheme="minorHAnsi"/>
          <w:sz w:val="28"/>
          <w:szCs w:val="28"/>
          <w:lang w:val="lv-LV" w:eastAsia="en-US"/>
        </w:rPr>
        <w:t xml:space="preserve">Dalībvalsts mātes finanšu pārvaldītājsabiedrība, dalībvalsts mātes jaukta finanšu pārvaldītājsabiedrība, Eiropas Savienības mātes finanšu pārvaldītājsabiedrība un Eiropas Savienības mātes jaukta finanšu pārvaldītājsabiedrība, finanšu pārvaldītājsabiedrība un jaukta finanšu pārvaldītājsabiedrība, kuras konsolidētu uzraudzību </w:t>
      </w:r>
      <w:r w:rsidR="001E1649" w:rsidRPr="00FC32DA">
        <w:rPr>
          <w:rFonts w:eastAsiaTheme="minorHAnsi"/>
          <w:sz w:val="28"/>
          <w:szCs w:val="28"/>
          <w:lang w:val="lv-LV" w:eastAsia="en-US"/>
        </w:rPr>
        <w:t xml:space="preserve">atbilstoši </w:t>
      </w:r>
      <w:r w:rsidRPr="00FC32DA">
        <w:rPr>
          <w:rFonts w:eastAsiaTheme="minorHAnsi"/>
          <w:sz w:val="28"/>
          <w:szCs w:val="28"/>
          <w:lang w:val="lv-LV" w:eastAsia="en-US"/>
        </w:rPr>
        <w:t>šā likuma 142</w:t>
      </w:r>
      <w:r w:rsidR="004116BB" w:rsidRPr="00FC32DA">
        <w:rPr>
          <w:rFonts w:eastAsiaTheme="minorHAnsi"/>
          <w:sz w:val="28"/>
          <w:szCs w:val="28"/>
          <w:lang w:val="lv-LV" w:eastAsia="en-US"/>
        </w:rPr>
        <w:t>. </w:t>
      </w:r>
      <w:r w:rsidRPr="00FC32DA">
        <w:rPr>
          <w:rFonts w:eastAsiaTheme="minorHAnsi"/>
          <w:sz w:val="28"/>
          <w:szCs w:val="28"/>
          <w:lang w:val="lv-LV" w:eastAsia="en-US"/>
        </w:rPr>
        <w:t>pantam veic Komisija (turpmāk šajā pantā</w:t>
      </w:r>
      <w:r w:rsidR="004116BB" w:rsidRPr="00FC32DA">
        <w:rPr>
          <w:rFonts w:eastAsiaTheme="minorHAnsi"/>
          <w:sz w:val="28"/>
          <w:szCs w:val="28"/>
          <w:lang w:val="lv-LV" w:eastAsia="en-US"/>
        </w:rPr>
        <w:t> </w:t>
      </w:r>
      <w:r w:rsidRPr="00FC32DA">
        <w:rPr>
          <w:rFonts w:eastAsiaTheme="minorHAnsi"/>
          <w:sz w:val="28"/>
          <w:szCs w:val="28"/>
          <w:lang w:val="lv-LV" w:eastAsia="en-US"/>
        </w:rPr>
        <w:t>– pārvaldītājsabiedrība), sniedz Komisijai šādu informāciju:</w:t>
      </w:r>
    </w:p>
    <w:p w14:paraId="4F792315" w14:textId="172EAE86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1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tās grupas </w:t>
      </w:r>
      <w:r w:rsidR="000355E3" w:rsidRPr="00FC32DA">
        <w:rPr>
          <w:sz w:val="28"/>
          <w:szCs w:val="28"/>
        </w:rPr>
        <w:t>organizatoriskā struktūra</w:t>
      </w:r>
      <w:r w:rsidRPr="00FC32DA">
        <w:rPr>
          <w:sz w:val="28"/>
          <w:szCs w:val="28"/>
        </w:rPr>
        <w:t>, kuras daļa ir pārvaldītājsabiedrība, norādot tās meitas sabiedrības</w:t>
      </w:r>
      <w:r w:rsidR="000355E3" w:rsidRPr="00FC32DA">
        <w:rPr>
          <w:sz w:val="28"/>
          <w:szCs w:val="28"/>
        </w:rPr>
        <w:t>,</w:t>
      </w:r>
      <w:r w:rsidRPr="00FC32DA">
        <w:rPr>
          <w:sz w:val="28"/>
          <w:szCs w:val="28"/>
        </w:rPr>
        <w:t xml:space="preserve"> mātes sabiedrības un katras grup</w:t>
      </w:r>
      <w:r w:rsidR="00292A67" w:rsidRPr="00FC32DA">
        <w:rPr>
          <w:sz w:val="28"/>
          <w:szCs w:val="28"/>
        </w:rPr>
        <w:t>ā</w:t>
      </w:r>
      <w:r w:rsidRPr="00FC32DA">
        <w:rPr>
          <w:sz w:val="28"/>
          <w:szCs w:val="28"/>
        </w:rPr>
        <w:t xml:space="preserve"> </w:t>
      </w:r>
      <w:r w:rsidR="00292A67" w:rsidRPr="00FC32DA">
        <w:rPr>
          <w:sz w:val="28"/>
          <w:szCs w:val="28"/>
        </w:rPr>
        <w:t>ietilpst</w:t>
      </w:r>
      <w:r w:rsidR="000355E3" w:rsidRPr="00FC32DA">
        <w:rPr>
          <w:sz w:val="28"/>
          <w:szCs w:val="28"/>
        </w:rPr>
        <w:t xml:space="preserve">ošās </w:t>
      </w:r>
      <w:r w:rsidRPr="00FC32DA">
        <w:rPr>
          <w:sz w:val="28"/>
          <w:szCs w:val="28"/>
        </w:rPr>
        <w:t>sabiedrības atrašanās vietu un darbības veidu;</w:t>
      </w:r>
    </w:p>
    <w:p w14:paraId="42824258" w14:textId="74E9FE01" w:rsidR="001F355A" w:rsidRPr="00FC32DA" w:rsidRDefault="001F355A" w:rsidP="004116BB">
      <w:pPr>
        <w:tabs>
          <w:tab w:val="left" w:pos="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pacing w:val="-3"/>
          <w:sz w:val="28"/>
          <w:szCs w:val="28"/>
        </w:rPr>
        <w:t>2</w:t>
      </w:r>
      <w:r w:rsidR="004116BB" w:rsidRPr="00FC32DA">
        <w:rPr>
          <w:spacing w:val="-3"/>
          <w:sz w:val="28"/>
          <w:szCs w:val="28"/>
        </w:rPr>
        <w:t>) </w:t>
      </w:r>
      <w:r w:rsidR="000355E3" w:rsidRPr="00FC32DA">
        <w:rPr>
          <w:spacing w:val="-3"/>
          <w:sz w:val="28"/>
          <w:szCs w:val="28"/>
        </w:rPr>
        <w:t xml:space="preserve">ziņas </w:t>
      </w:r>
      <w:r w:rsidRPr="00FC32DA">
        <w:rPr>
          <w:spacing w:val="-3"/>
          <w:sz w:val="28"/>
          <w:szCs w:val="28"/>
        </w:rPr>
        <w:t>par vismaz divām personām, kuras vada pārvaldītājsabiedrību,</w:t>
      </w:r>
      <w:r w:rsidRPr="00FC32DA">
        <w:rPr>
          <w:sz w:val="28"/>
          <w:szCs w:val="28"/>
        </w:rPr>
        <w:t xml:space="preserve"> un par </w:t>
      </w:r>
      <w:r w:rsidR="000355E3" w:rsidRPr="00FC32DA">
        <w:rPr>
          <w:sz w:val="28"/>
          <w:szCs w:val="28"/>
        </w:rPr>
        <w:t>minē</w:t>
      </w:r>
      <w:r w:rsidR="00293D27" w:rsidRPr="00FC32DA">
        <w:rPr>
          <w:sz w:val="28"/>
          <w:szCs w:val="28"/>
        </w:rPr>
        <w:t xml:space="preserve">to </w:t>
      </w:r>
      <w:r w:rsidR="000355E3" w:rsidRPr="00FC32DA">
        <w:rPr>
          <w:sz w:val="28"/>
          <w:szCs w:val="28"/>
        </w:rPr>
        <w:t xml:space="preserve">personu </w:t>
      </w:r>
      <w:r w:rsidRPr="00FC32DA">
        <w:rPr>
          <w:sz w:val="28"/>
          <w:szCs w:val="28"/>
        </w:rPr>
        <w:t>atbilstību šā likuma 106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panta prasībām;</w:t>
      </w:r>
    </w:p>
    <w:p w14:paraId="1A37F3A0" w14:textId="41ADD1FA" w:rsidR="001F355A" w:rsidRPr="00FC32DA" w:rsidRDefault="001F355A" w:rsidP="004116BB">
      <w:pPr>
        <w:tabs>
          <w:tab w:val="left" w:pos="32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3</w:t>
      </w:r>
      <w:r w:rsidR="004116BB" w:rsidRPr="00FC32DA">
        <w:rPr>
          <w:sz w:val="28"/>
          <w:szCs w:val="28"/>
        </w:rPr>
        <w:t>) </w:t>
      </w:r>
      <w:r w:rsidR="000355E3" w:rsidRPr="00FC32DA">
        <w:rPr>
          <w:sz w:val="28"/>
          <w:szCs w:val="28"/>
        </w:rPr>
        <w:t xml:space="preserve">iekšējā kārtība </w:t>
      </w:r>
      <w:r w:rsidRPr="00FC32DA">
        <w:rPr>
          <w:sz w:val="28"/>
          <w:szCs w:val="28"/>
        </w:rPr>
        <w:t xml:space="preserve">un uzdevumu </w:t>
      </w:r>
      <w:r w:rsidR="000355E3" w:rsidRPr="00FC32DA">
        <w:rPr>
          <w:sz w:val="28"/>
          <w:szCs w:val="28"/>
        </w:rPr>
        <w:t xml:space="preserve">sadalījums </w:t>
      </w:r>
      <w:r w:rsidRPr="00FC32DA">
        <w:rPr>
          <w:sz w:val="28"/>
          <w:szCs w:val="28"/>
        </w:rPr>
        <w:t>grupā.</w:t>
      </w:r>
    </w:p>
    <w:p w14:paraId="6F8A09CE" w14:textId="3A063C03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(2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Komisija var pieprasīt papildu informāciju, kas nepieciešama šā panta trešajā un ceturtajā daļā minētā izvērtējuma veikšanai.</w:t>
      </w:r>
    </w:p>
    <w:p w14:paraId="1DA70505" w14:textId="553C171B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(3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>Komisija atļauj pārvaldītājsabiedrībai būt par ieguldījumu brokeru sabiedrības mātes sabiedrību, ja:</w:t>
      </w:r>
    </w:p>
    <w:p w14:paraId="2B785AEC" w14:textId="445D36C4" w:rsidR="001F355A" w:rsidRPr="00FC32DA" w:rsidRDefault="001F355A" w:rsidP="004116BB">
      <w:pPr>
        <w:tabs>
          <w:tab w:val="left" w:pos="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lastRenderedPageBreak/>
        <w:t>1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iekšējā kārtība un uzdevumu sadalījums grupā atbilst nolūkam </w:t>
      </w:r>
      <w:r w:rsidR="000355E3" w:rsidRPr="00FC32DA">
        <w:rPr>
          <w:sz w:val="28"/>
          <w:szCs w:val="28"/>
        </w:rPr>
        <w:t xml:space="preserve">konsolidēti vai subkonsolidēti </w:t>
      </w:r>
      <w:r w:rsidRPr="00FC32DA">
        <w:rPr>
          <w:sz w:val="28"/>
          <w:szCs w:val="28"/>
        </w:rPr>
        <w:t xml:space="preserve">nodrošināt atbilstību prasībām, kas noteiktas šajā likumā un </w:t>
      </w:r>
      <w:r w:rsidR="00107136" w:rsidRPr="00FC32DA">
        <w:rPr>
          <w:sz w:val="28"/>
          <w:szCs w:val="28"/>
        </w:rPr>
        <w:t>R</w:t>
      </w:r>
      <w:r w:rsidRPr="00FC32DA">
        <w:rPr>
          <w:sz w:val="28"/>
          <w:szCs w:val="28"/>
        </w:rPr>
        <w:t>egulā Nr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 xml:space="preserve">575/2013; </w:t>
      </w:r>
    </w:p>
    <w:p w14:paraId="4344DBDD" w14:textId="270FC14D" w:rsidR="001F355A" w:rsidRPr="00FC32DA" w:rsidRDefault="001F355A" w:rsidP="004116BB">
      <w:pPr>
        <w:tabs>
          <w:tab w:val="left" w:pos="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tās grupas organizatoriskā struktūra, kuras daļa ir pārvaldītājsabiedrība, neierobežo Komisijas iespējas efektīvi uzraudzīt meitas un mātes sabiedrības attiecībā uz individuālām, konsolidētām vai subkonsolidētām saistībām;</w:t>
      </w:r>
    </w:p>
    <w:p w14:paraId="43B375BE" w14:textId="071621F1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3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ir nodrošināta tās vadītāju atbilstība šā likuma 106.</w:t>
      </w:r>
      <w:r w:rsidR="000355E3" w:rsidRPr="00FC32DA">
        <w:rPr>
          <w:sz w:val="28"/>
          <w:szCs w:val="28"/>
        </w:rPr>
        <w:t> </w:t>
      </w:r>
      <w:r w:rsidRPr="00FC32DA">
        <w:rPr>
          <w:sz w:val="28"/>
          <w:szCs w:val="28"/>
        </w:rPr>
        <w:t>panta prasībām</w:t>
      </w:r>
      <w:r w:rsidR="004116BB" w:rsidRPr="00FC32DA">
        <w:rPr>
          <w:sz w:val="28"/>
          <w:szCs w:val="28"/>
        </w:rPr>
        <w:t>.</w:t>
      </w:r>
    </w:p>
    <w:p w14:paraId="56B8C64D" w14:textId="1309A540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(4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Pārvaldītājsabiedrībai nav nepieciešama šā panta trešajā daļā minētā atļauja, ja </w:t>
      </w:r>
      <w:r w:rsidR="000355E3" w:rsidRPr="00FC32DA">
        <w:rPr>
          <w:sz w:val="28"/>
          <w:szCs w:val="28"/>
        </w:rPr>
        <w:t xml:space="preserve">ir izpildīti </w:t>
      </w:r>
      <w:r w:rsidRPr="00FC32DA">
        <w:rPr>
          <w:sz w:val="28"/>
          <w:szCs w:val="28"/>
        </w:rPr>
        <w:t xml:space="preserve">visi šādi </w:t>
      </w:r>
      <w:r w:rsidR="001A09EF" w:rsidRPr="00FC32DA">
        <w:rPr>
          <w:sz w:val="28"/>
          <w:szCs w:val="28"/>
        </w:rPr>
        <w:t>nosacījumi</w:t>
      </w:r>
      <w:r w:rsidRPr="00FC32DA">
        <w:rPr>
          <w:sz w:val="28"/>
          <w:szCs w:val="28"/>
        </w:rPr>
        <w:t>:</w:t>
      </w:r>
    </w:p>
    <w:p w14:paraId="099C4E5E" w14:textId="5BA9D660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1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pārvaldītājsabiedrības pamatdarbība ir līdzdalības iegūšana meitas sabiedrībās;</w:t>
      </w:r>
    </w:p>
    <w:p w14:paraId="4C77302F" w14:textId="045D4F61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pārvaldītājsabiedrība nav noregulējuma vienība Kredītiestāžu un ieguldījumu brokeru sabiedrību darbības atjaunošanas un noregulējuma likuma izpratnē;</w:t>
      </w:r>
    </w:p>
    <w:p w14:paraId="13805238" w14:textId="74153EB8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3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kredītiestāde, kas ir meitas sabiedrība, ir norīkota par atbildīgo nolūkā konsolidēti nodrošināt grupas atbilstību prudenciālajām prasībām, un tai ir doti visi </w:t>
      </w:r>
      <w:r w:rsidR="001A09EF" w:rsidRPr="00FC32DA">
        <w:rPr>
          <w:sz w:val="28"/>
          <w:szCs w:val="28"/>
        </w:rPr>
        <w:t xml:space="preserve">nepieciešamie </w:t>
      </w:r>
      <w:r w:rsidRPr="00FC32DA">
        <w:rPr>
          <w:sz w:val="28"/>
          <w:szCs w:val="28"/>
        </w:rPr>
        <w:t>līdzekļi un juridiskās pilnvaras efektīvai minēto pienākumu izpildei;</w:t>
      </w:r>
    </w:p>
    <w:p w14:paraId="3CDEEB56" w14:textId="036705DE" w:rsidR="001F355A" w:rsidRPr="00FC32DA" w:rsidRDefault="001F355A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pacing w:val="-2"/>
          <w:sz w:val="28"/>
          <w:szCs w:val="28"/>
        </w:rPr>
        <w:t>4</w:t>
      </w:r>
      <w:r w:rsidR="004116BB" w:rsidRPr="00FC32DA">
        <w:rPr>
          <w:spacing w:val="-2"/>
          <w:sz w:val="28"/>
          <w:szCs w:val="28"/>
        </w:rPr>
        <w:t>) </w:t>
      </w:r>
      <w:r w:rsidRPr="00FC32DA">
        <w:rPr>
          <w:spacing w:val="-2"/>
          <w:sz w:val="28"/>
          <w:szCs w:val="28"/>
        </w:rPr>
        <w:t xml:space="preserve">pārvaldītājsabiedrība neiesaistās tādu ar pārvaldību, darbību vai finansēm </w:t>
      </w:r>
      <w:r w:rsidRPr="00FC32DA">
        <w:rPr>
          <w:sz w:val="28"/>
          <w:szCs w:val="28"/>
        </w:rPr>
        <w:t xml:space="preserve">saistītu lēmumu pieņemšanā, kas ietekmē grupu vai tās meitas sabiedrību, kura ir kredītiestāde, ieguldījumu brokeru sabiedrība vai finanšu iestāde; </w:t>
      </w:r>
    </w:p>
    <w:p w14:paraId="4EF71689" w14:textId="40265BF3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5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nav šķēršļu efektīvai grupas konsolidētajai uzraudzībai.</w:t>
      </w:r>
    </w:p>
    <w:p w14:paraId="78286CDE" w14:textId="6E141B11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(5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Komisija lēmumu par šā panta trešajā daļā minēto atļauju vai ceturtajā daļā minēto izņēmumu </w:t>
      </w:r>
      <w:r w:rsidR="001A09EF" w:rsidRPr="00FC32DA">
        <w:rPr>
          <w:sz w:val="28"/>
          <w:szCs w:val="28"/>
        </w:rPr>
        <w:t xml:space="preserve">pieņem </w:t>
      </w:r>
      <w:r w:rsidRPr="00FC32DA">
        <w:rPr>
          <w:sz w:val="28"/>
          <w:szCs w:val="28"/>
        </w:rPr>
        <w:t>četru mēnešu laikā no brīža, kad ir saņemta pilnīga informācija lēmuma pieņemšanai, bet ne vēlāk kā sešu mēnešu laikā no pieteikuma iesniegšanas</w:t>
      </w:r>
      <w:r w:rsidR="001A09EF" w:rsidRPr="00FC32DA">
        <w:rPr>
          <w:sz w:val="28"/>
          <w:szCs w:val="28"/>
        </w:rPr>
        <w:t xml:space="preserve"> dienas</w:t>
      </w:r>
      <w:r w:rsidR="004116BB" w:rsidRPr="00FC32DA">
        <w:rPr>
          <w:sz w:val="28"/>
          <w:szCs w:val="28"/>
        </w:rPr>
        <w:t>.</w:t>
      </w:r>
    </w:p>
    <w:p w14:paraId="1F034D69" w14:textId="24CBFA4D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(6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Ja pārvaldītājsabiedrība ir reģistrēta citā dalībvalstī, Komisija pirms lēmuma pieņemšanas sadarbojas ar dalībvalsts uzraudzības institūciju un sniedz tai savu novērtējumu par šā panta trešajā un ceturtajā daļā minētajiem apstākļiem</w:t>
      </w:r>
      <w:r w:rsidR="004116BB" w:rsidRPr="00FC32DA">
        <w:rPr>
          <w:sz w:val="28"/>
          <w:szCs w:val="28"/>
        </w:rPr>
        <w:t xml:space="preserve">. </w:t>
      </w:r>
      <w:r w:rsidRPr="00FC32DA">
        <w:rPr>
          <w:sz w:val="28"/>
          <w:szCs w:val="28"/>
        </w:rPr>
        <w:t>Komisija savu lēmumu saskaņo ar dalībvalsts uzraudzības institūciju un koordinatoru Finanšu konglomerātu likuma izpratnē divu mēnešu laikā no novērtējuma sagatavošanas</w:t>
      </w:r>
      <w:r w:rsidR="001A09EF" w:rsidRPr="00FC32DA">
        <w:rPr>
          <w:sz w:val="28"/>
          <w:szCs w:val="28"/>
        </w:rPr>
        <w:t xml:space="preserve"> dienas</w:t>
      </w:r>
      <w:r w:rsidR="004116BB" w:rsidRPr="00FC32DA">
        <w:rPr>
          <w:sz w:val="28"/>
          <w:szCs w:val="28"/>
        </w:rPr>
        <w:t xml:space="preserve">. </w:t>
      </w:r>
      <w:r w:rsidRPr="00FC32DA">
        <w:rPr>
          <w:sz w:val="28"/>
          <w:szCs w:val="28"/>
        </w:rPr>
        <w:t>Ja neizdodas vienoties, Komisija vēršas attiecīgajā Eiropas Uzraudzības iestādē strīdu izšķiršanai.</w:t>
      </w:r>
      <w:bookmarkStart w:id="2" w:name="a_FITL_10_2"/>
    </w:p>
    <w:p w14:paraId="0000823A" w14:textId="5E87DC4F" w:rsidR="00293D27" w:rsidRPr="00FC32DA" w:rsidRDefault="00293D27" w:rsidP="004116BB">
      <w:pPr>
        <w:tabs>
          <w:tab w:val="left" w:pos="313"/>
        </w:tabs>
        <w:spacing w:after="0" w:line="240" w:lineRule="auto"/>
        <w:ind w:firstLine="720"/>
        <w:rPr>
          <w:sz w:val="28"/>
          <w:szCs w:val="28"/>
        </w:rPr>
      </w:pPr>
    </w:p>
    <w:p w14:paraId="5CBD7342" w14:textId="49EEEDAC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rPr>
          <w:b/>
          <w:sz w:val="28"/>
          <w:szCs w:val="28"/>
        </w:rPr>
      </w:pPr>
      <w:r w:rsidRPr="00FC32DA">
        <w:rPr>
          <w:b/>
          <w:sz w:val="28"/>
          <w:szCs w:val="28"/>
        </w:rPr>
        <w:t>10.</w:t>
      </w:r>
      <w:r w:rsidRPr="00FC32DA">
        <w:rPr>
          <w:b/>
          <w:sz w:val="28"/>
          <w:szCs w:val="28"/>
          <w:vertAlign w:val="superscript"/>
        </w:rPr>
        <w:t>2</w:t>
      </w:r>
      <w:r w:rsidR="004116BB" w:rsidRPr="00FC32DA">
        <w:rPr>
          <w:b/>
          <w:sz w:val="28"/>
          <w:szCs w:val="28"/>
          <w:vertAlign w:val="superscript"/>
        </w:rPr>
        <w:t> </w:t>
      </w:r>
      <w:r w:rsidRPr="00FC32DA">
        <w:rPr>
          <w:b/>
          <w:sz w:val="28"/>
          <w:szCs w:val="28"/>
        </w:rPr>
        <w:t>pants</w:t>
      </w:r>
      <w:r w:rsidR="004116BB" w:rsidRPr="00FC32DA">
        <w:rPr>
          <w:b/>
          <w:sz w:val="28"/>
          <w:szCs w:val="28"/>
        </w:rPr>
        <w:t>. </w:t>
      </w:r>
      <w:bookmarkEnd w:id="2"/>
      <w:r w:rsidRPr="00FC32DA">
        <w:rPr>
          <w:b/>
          <w:sz w:val="28"/>
          <w:szCs w:val="28"/>
        </w:rPr>
        <w:t>Ārvalsts grupas ieguldījumu brokeru sabiedrība</w:t>
      </w:r>
    </w:p>
    <w:p w14:paraId="108DBFF8" w14:textId="1AA341F7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(1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Ieguldījumu brokeru sabiedrība, kas ietilpst ārvalsts grupā, kuras aktīvu kopējā vērtība Eiropas Savienībā ir vismaz 40 miljardi </w:t>
      </w:r>
      <w:r w:rsidRPr="00FC32DA">
        <w:rPr>
          <w:i/>
          <w:iCs/>
          <w:sz w:val="28"/>
          <w:szCs w:val="28"/>
        </w:rPr>
        <w:t>euro</w:t>
      </w:r>
      <w:r w:rsidRPr="00FC32DA">
        <w:rPr>
          <w:sz w:val="28"/>
          <w:szCs w:val="28"/>
        </w:rPr>
        <w:t xml:space="preserve">, var saņemt licenci un darboties Latvijas Republikā tikai </w:t>
      </w:r>
      <w:r w:rsidR="00D1614B" w:rsidRPr="00FC32DA">
        <w:rPr>
          <w:sz w:val="28"/>
          <w:szCs w:val="28"/>
        </w:rPr>
        <w:t>tad</w:t>
      </w:r>
      <w:r w:rsidRPr="00FC32DA">
        <w:rPr>
          <w:sz w:val="28"/>
          <w:szCs w:val="28"/>
        </w:rPr>
        <w:t xml:space="preserve">, ja </w:t>
      </w:r>
      <w:r w:rsidR="000355E3" w:rsidRPr="00FC32DA">
        <w:rPr>
          <w:sz w:val="28"/>
          <w:szCs w:val="28"/>
        </w:rPr>
        <w:t xml:space="preserve">ir izpildīts </w:t>
      </w:r>
      <w:r w:rsidR="00292A67" w:rsidRPr="00FC32DA">
        <w:rPr>
          <w:sz w:val="28"/>
          <w:szCs w:val="28"/>
        </w:rPr>
        <w:t xml:space="preserve">vismaz </w:t>
      </w:r>
      <w:r w:rsidRPr="00FC32DA">
        <w:rPr>
          <w:sz w:val="28"/>
          <w:szCs w:val="28"/>
        </w:rPr>
        <w:t xml:space="preserve">viens no šādiem </w:t>
      </w:r>
      <w:r w:rsidR="0047120F" w:rsidRPr="00FC32DA">
        <w:rPr>
          <w:sz w:val="28"/>
          <w:szCs w:val="28"/>
        </w:rPr>
        <w:t>nosacījumiem</w:t>
      </w:r>
      <w:r w:rsidRPr="00FC32DA">
        <w:rPr>
          <w:sz w:val="28"/>
          <w:szCs w:val="28"/>
        </w:rPr>
        <w:t>:</w:t>
      </w:r>
    </w:p>
    <w:p w14:paraId="37773A26" w14:textId="062E5944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1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ieguldījumu brokeru sabiedrība ir vienīgā ārvalsts grupas kredītiestāde vai ieguldījumu brokeru sabiedrība Eiropas Savienībā;</w:t>
      </w:r>
    </w:p>
    <w:p w14:paraId="65DF1D0F" w14:textId="26542C25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ieguldījumu brokeru sabiedrībai ir reģistrēta mātes sabiedrība Eiropas Savienībā;</w:t>
      </w:r>
    </w:p>
    <w:p w14:paraId="6AFB9B11" w14:textId="4430FC84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lastRenderedPageBreak/>
        <w:t>3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>ieguldījumu brokeru sabiedrība ir mātes sabiedrība Eiropas Savienībā reģistrētai kredītiestādei vai ieguldījumu brokeru sabiedrībai.</w:t>
      </w:r>
    </w:p>
    <w:p w14:paraId="5178D130" w14:textId="197C7386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(2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>Ārvalsts grupas aktīvu kopējo vērtību Eiropas Savienībā veido šāda summa:</w:t>
      </w:r>
    </w:p>
    <w:p w14:paraId="22FDFB93" w14:textId="3087EF88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1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 xml:space="preserve">katras ārvalsts grupas kredītiestādes un ieguldījumu brokeru sabiedrības kopējā aktīvu vērtība Eiropas Savienībā, </w:t>
      </w:r>
      <w:r w:rsidR="0047120F" w:rsidRPr="00FC32DA">
        <w:rPr>
          <w:rFonts w:eastAsiaTheme="minorHAnsi"/>
          <w:sz w:val="28"/>
          <w:szCs w:val="28"/>
          <w:lang w:eastAsia="en-US"/>
        </w:rPr>
        <w:t xml:space="preserve">kas </w:t>
      </w:r>
      <w:r w:rsidRPr="00FC32DA">
        <w:rPr>
          <w:rFonts w:eastAsiaTheme="minorHAnsi"/>
          <w:sz w:val="28"/>
          <w:szCs w:val="28"/>
          <w:lang w:eastAsia="en-US"/>
        </w:rPr>
        <w:t>izriet no tās konsolidētās bilances vai</w:t>
      </w:r>
      <w:r w:rsidR="0047120F" w:rsidRPr="00FC32DA">
        <w:rPr>
          <w:rFonts w:eastAsiaTheme="minorHAnsi"/>
          <w:sz w:val="28"/>
          <w:szCs w:val="28"/>
          <w:lang w:eastAsia="en-US"/>
        </w:rPr>
        <w:t>, ja tās bilance nav konsolidēta,</w:t>
      </w:r>
      <w:r w:rsidRPr="00FC32DA">
        <w:rPr>
          <w:rFonts w:eastAsiaTheme="minorHAnsi"/>
          <w:sz w:val="28"/>
          <w:szCs w:val="28"/>
          <w:lang w:eastAsia="en-US"/>
        </w:rPr>
        <w:t xml:space="preserve"> </w:t>
      </w:r>
      <w:r w:rsidR="0047120F" w:rsidRPr="00FC32DA">
        <w:rPr>
          <w:rFonts w:eastAsiaTheme="minorHAnsi"/>
          <w:sz w:val="28"/>
          <w:szCs w:val="28"/>
          <w:lang w:eastAsia="en-US"/>
        </w:rPr>
        <w:t>–</w:t>
      </w:r>
      <w:r w:rsidRPr="00FC32DA">
        <w:rPr>
          <w:rFonts w:eastAsiaTheme="minorHAnsi"/>
          <w:sz w:val="28"/>
          <w:szCs w:val="28"/>
          <w:lang w:eastAsia="en-US"/>
        </w:rPr>
        <w:t xml:space="preserve"> no to atsevišķajām bilancēm;</w:t>
      </w:r>
    </w:p>
    <w:p w14:paraId="04A907C7" w14:textId="69FCFB83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) </w:t>
      </w:r>
      <w:r w:rsidR="0047120F" w:rsidRPr="00FC32DA">
        <w:rPr>
          <w:sz w:val="28"/>
          <w:szCs w:val="28"/>
        </w:rPr>
        <w:t xml:space="preserve">katras tādas ārvalsts grupas filiāles </w:t>
      </w:r>
      <w:r w:rsidRPr="00FC32DA">
        <w:rPr>
          <w:sz w:val="28"/>
          <w:szCs w:val="28"/>
        </w:rPr>
        <w:t>kopējā aktīvu vērtība, kura ir saņēmusi atļauju darboties Eiropas Savienībā kā kredītiestāde vai ieguldījumu brokeru sabiedrība</w:t>
      </w:r>
      <w:r w:rsidR="004116BB" w:rsidRPr="00FC32DA">
        <w:rPr>
          <w:sz w:val="28"/>
          <w:szCs w:val="28"/>
        </w:rPr>
        <w:t>.</w:t>
      </w:r>
    </w:p>
    <w:p w14:paraId="639C1ACF" w14:textId="14A66824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(3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 xml:space="preserve">Ja ieguldījumu brokeru sabiedrība ietilpst ārvalsts grupā un šajā grupā ietilpst arī dalībvalsts kredītiestāde vai ieguldījumu brokeru sabiedrība, </w:t>
      </w:r>
      <w:r w:rsidR="0047120F" w:rsidRPr="00FC32DA">
        <w:rPr>
          <w:rFonts w:eastAsiaTheme="minorHAnsi"/>
          <w:sz w:val="28"/>
          <w:szCs w:val="28"/>
          <w:lang w:eastAsia="en-US"/>
        </w:rPr>
        <w:t xml:space="preserve">tad </w:t>
      </w:r>
      <w:r w:rsidRPr="00FC32DA">
        <w:rPr>
          <w:rFonts w:eastAsiaTheme="minorHAnsi"/>
          <w:sz w:val="28"/>
          <w:szCs w:val="28"/>
          <w:lang w:eastAsia="en-US"/>
        </w:rPr>
        <w:t>ārvalsts grupai ir pienākums veidot vienu mātes sabiedrību Eiropas Savienībā</w:t>
      </w:r>
      <w:r w:rsidR="004116BB" w:rsidRPr="00FC32DA">
        <w:rPr>
          <w:rFonts w:eastAsiaTheme="minorHAnsi"/>
          <w:sz w:val="28"/>
          <w:szCs w:val="28"/>
          <w:lang w:eastAsia="en-US"/>
        </w:rPr>
        <w:t xml:space="preserve">. </w:t>
      </w:r>
      <w:r w:rsidRPr="00FC32DA">
        <w:rPr>
          <w:rFonts w:eastAsiaTheme="minorHAnsi"/>
          <w:sz w:val="28"/>
          <w:szCs w:val="28"/>
          <w:lang w:eastAsia="en-US"/>
        </w:rPr>
        <w:t xml:space="preserve">Komisija var atļaut veidot otru mātes sabiedrību Eiropas Savienībā, ja tā veic ieguldījumu brokeru sabiedrības konsolidētu uzraudzību </w:t>
      </w:r>
      <w:r w:rsidR="007B630E" w:rsidRPr="00FC32DA">
        <w:rPr>
          <w:rFonts w:eastAsiaTheme="minorHAnsi"/>
          <w:sz w:val="28"/>
          <w:szCs w:val="28"/>
          <w:lang w:eastAsia="en-US"/>
        </w:rPr>
        <w:t xml:space="preserve">atbilstoši </w:t>
      </w:r>
      <w:r w:rsidRPr="00FC32DA">
        <w:rPr>
          <w:rFonts w:eastAsiaTheme="minorHAnsi"/>
          <w:sz w:val="28"/>
          <w:szCs w:val="28"/>
          <w:lang w:eastAsia="en-US"/>
        </w:rPr>
        <w:t>šā likuma 142</w:t>
      </w:r>
      <w:r w:rsidR="004116BB" w:rsidRPr="00FC32DA">
        <w:rPr>
          <w:rFonts w:eastAsiaTheme="minorHAnsi"/>
          <w:sz w:val="28"/>
          <w:szCs w:val="28"/>
          <w:lang w:eastAsia="en-US"/>
        </w:rPr>
        <w:t>. </w:t>
      </w:r>
      <w:r w:rsidRPr="00FC32DA">
        <w:rPr>
          <w:rFonts w:eastAsiaTheme="minorHAnsi"/>
          <w:sz w:val="28"/>
          <w:szCs w:val="28"/>
          <w:lang w:eastAsia="en-US"/>
        </w:rPr>
        <w:t xml:space="preserve">pantam un </w:t>
      </w:r>
      <w:r w:rsidR="0047120F" w:rsidRPr="00FC32DA">
        <w:rPr>
          <w:rFonts w:eastAsiaTheme="minorHAnsi"/>
          <w:sz w:val="28"/>
          <w:szCs w:val="28"/>
          <w:lang w:eastAsia="en-US"/>
        </w:rPr>
        <w:t xml:space="preserve">ir izpildīts </w:t>
      </w:r>
      <w:r w:rsidRPr="00FC32DA">
        <w:rPr>
          <w:rFonts w:eastAsiaTheme="minorHAnsi"/>
          <w:sz w:val="28"/>
          <w:szCs w:val="28"/>
          <w:lang w:eastAsia="en-US"/>
        </w:rPr>
        <w:t xml:space="preserve">viens no šādiem </w:t>
      </w:r>
      <w:r w:rsidR="0047120F" w:rsidRPr="00FC32DA">
        <w:rPr>
          <w:rFonts w:eastAsiaTheme="minorHAnsi"/>
          <w:sz w:val="28"/>
          <w:szCs w:val="28"/>
          <w:lang w:eastAsia="en-US"/>
        </w:rPr>
        <w:t>nosacījumiem</w:t>
      </w:r>
      <w:r w:rsidRPr="00FC32DA">
        <w:rPr>
          <w:rFonts w:eastAsiaTheme="minorHAnsi"/>
          <w:sz w:val="28"/>
          <w:szCs w:val="28"/>
          <w:lang w:eastAsia="en-US"/>
        </w:rPr>
        <w:t>:</w:t>
      </w:r>
    </w:p>
    <w:p w14:paraId="76BD55E8" w14:textId="6F84D009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1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>vienas mātes sabiedrības izveide Eiropas Savienībā nav saderīga ar obligāto prasību nodalīt darbības, kā paredz tās ārvalsts noteikumi vai uzraudzības institūcija, kurā atrodas galvenā ārvalsts grupas mātesuzņēmuma centrālais birojs;</w:t>
      </w:r>
    </w:p>
    <w:p w14:paraId="589595E6" w14:textId="4EF5F6E2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2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vienas mātes sabiedrības izveide Eiropas Savienībā mazinātu noregulējamības efektivitāti salīdzinājumā ar gadījumu, </w:t>
      </w:r>
      <w:r w:rsidR="0047120F" w:rsidRPr="00FC32DA">
        <w:rPr>
          <w:sz w:val="28"/>
          <w:szCs w:val="28"/>
        </w:rPr>
        <w:t xml:space="preserve">ja </w:t>
      </w:r>
      <w:r w:rsidRPr="00FC32DA">
        <w:rPr>
          <w:sz w:val="28"/>
          <w:szCs w:val="28"/>
        </w:rPr>
        <w:t>ir divas mātes sabiedrības Eiropas Savienībā.</w:t>
      </w:r>
    </w:p>
    <w:p w14:paraId="7DA472B1" w14:textId="0993F5CA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(4</w:t>
      </w:r>
      <w:r w:rsidR="004116BB" w:rsidRPr="00FC32DA">
        <w:rPr>
          <w:sz w:val="28"/>
          <w:szCs w:val="28"/>
        </w:rPr>
        <w:t>) </w:t>
      </w:r>
      <w:r w:rsidRPr="00FC32DA">
        <w:rPr>
          <w:sz w:val="28"/>
          <w:szCs w:val="28"/>
        </w:rPr>
        <w:t xml:space="preserve">Šā panta </w:t>
      </w:r>
      <w:r w:rsidR="0047120F" w:rsidRPr="00FC32DA">
        <w:rPr>
          <w:sz w:val="28"/>
          <w:szCs w:val="28"/>
        </w:rPr>
        <w:t xml:space="preserve">trešajā daļā minētajā </w:t>
      </w:r>
      <w:r w:rsidRPr="00FC32DA">
        <w:rPr>
          <w:sz w:val="28"/>
          <w:szCs w:val="28"/>
        </w:rPr>
        <w:t>gadījumā ieguldījumu brokeru sabiedrības mātes sabiedrība var būt dalībvalstī reģistrēta kredītiestāde vai pārvaldītājsabiedrība, kurai piešķirta atļauja atbilstoši šā likuma 10.</w:t>
      </w:r>
      <w:r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  <w:vertAlign w:val="superscript"/>
        </w:rPr>
        <w:t> </w:t>
      </w:r>
      <w:r w:rsidRPr="00FC32DA">
        <w:rPr>
          <w:sz w:val="28"/>
          <w:szCs w:val="28"/>
        </w:rPr>
        <w:t>panta trešajai daļai</w:t>
      </w:r>
      <w:r w:rsidR="004116BB" w:rsidRPr="00FC32DA">
        <w:rPr>
          <w:sz w:val="28"/>
          <w:szCs w:val="28"/>
        </w:rPr>
        <w:t xml:space="preserve">. </w:t>
      </w:r>
      <w:r w:rsidRPr="00FC32DA">
        <w:rPr>
          <w:sz w:val="28"/>
          <w:szCs w:val="28"/>
        </w:rPr>
        <w:t xml:space="preserve">Mātes sabiedrība var būt ieguldījumu brokeru sabiedrība, ja ārvalsts grupā neietilpst neviena dalībvalsts kredītiestāde vai </w:t>
      </w:r>
      <w:r w:rsidR="0047120F" w:rsidRPr="00FC32DA">
        <w:rPr>
          <w:sz w:val="28"/>
          <w:szCs w:val="28"/>
        </w:rPr>
        <w:t xml:space="preserve">ja </w:t>
      </w:r>
      <w:r w:rsidRPr="00FC32DA">
        <w:rPr>
          <w:sz w:val="28"/>
          <w:szCs w:val="28"/>
        </w:rPr>
        <w:t>Komisija atļauj veidot otru mātes sabiedrību Eiropas Savienībā saistībā ar ieguldījumu pakalpojumu sniegšanu</w:t>
      </w:r>
      <w:r w:rsidR="004116BB" w:rsidRPr="00FC32DA">
        <w:rPr>
          <w:sz w:val="28"/>
          <w:szCs w:val="28"/>
        </w:rPr>
        <w:t>.</w:t>
      </w:r>
      <w:hyperlink w:anchor="Art_21b_3" w:history="1"/>
    </w:p>
    <w:p w14:paraId="28D0DDD9" w14:textId="429BEAB9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(5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Pr="00FC32DA">
        <w:rPr>
          <w:rFonts w:eastAsiaTheme="minorHAnsi"/>
          <w:sz w:val="28"/>
          <w:szCs w:val="28"/>
          <w:lang w:eastAsia="en-US"/>
        </w:rPr>
        <w:t>Komisija sniedz Eiropas Banku iestādei šādu informāciju attiecībā uz ārvalsts grupu, kas darbojas Latvijas Republikas teritorijā:</w:t>
      </w:r>
    </w:p>
    <w:p w14:paraId="6FDB96E2" w14:textId="0C48EACD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_Hlk61952457"/>
      <w:r w:rsidRPr="00FC32DA">
        <w:rPr>
          <w:rFonts w:eastAsiaTheme="minorHAnsi"/>
          <w:sz w:val="28"/>
          <w:szCs w:val="28"/>
          <w:lang w:eastAsia="en-US"/>
        </w:rPr>
        <w:t>1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="000B555E" w:rsidRPr="00FC32DA">
        <w:rPr>
          <w:rFonts w:eastAsiaTheme="minorHAnsi"/>
          <w:sz w:val="28"/>
          <w:szCs w:val="28"/>
          <w:lang w:eastAsia="en-US"/>
        </w:rPr>
        <w:t xml:space="preserve">attiecībā uz kredītiestādi un ieguldījumu brokeru sabiedrību, kura pieder pie kādas ārvalsts grupas, – </w:t>
      </w:r>
      <w:r w:rsidRPr="00FC32DA">
        <w:rPr>
          <w:rFonts w:eastAsiaTheme="minorHAnsi"/>
          <w:sz w:val="28"/>
          <w:szCs w:val="28"/>
          <w:lang w:eastAsia="en-US"/>
        </w:rPr>
        <w:t>nosaukums un kopējā aktīvu vērtība;</w:t>
      </w:r>
    </w:p>
    <w:p w14:paraId="56386020" w14:textId="40370424" w:rsidR="001F355A" w:rsidRPr="00FC32DA" w:rsidRDefault="001F355A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rFonts w:eastAsiaTheme="minorHAnsi"/>
          <w:sz w:val="28"/>
          <w:szCs w:val="28"/>
          <w:lang w:eastAsia="en-US"/>
        </w:rPr>
        <w:t>2</w:t>
      </w:r>
      <w:r w:rsidR="004116BB" w:rsidRPr="00FC32DA">
        <w:rPr>
          <w:rFonts w:eastAsiaTheme="minorHAnsi"/>
          <w:sz w:val="28"/>
          <w:szCs w:val="28"/>
          <w:lang w:eastAsia="en-US"/>
        </w:rPr>
        <w:t>) </w:t>
      </w:r>
      <w:r w:rsidR="000B555E" w:rsidRPr="00FC32DA">
        <w:rPr>
          <w:rFonts w:eastAsiaTheme="minorHAnsi"/>
          <w:sz w:val="28"/>
          <w:szCs w:val="28"/>
          <w:lang w:eastAsia="en-US"/>
        </w:rPr>
        <w:t xml:space="preserve">attiecībā uz </w:t>
      </w:r>
      <w:r w:rsidRPr="00FC32DA">
        <w:rPr>
          <w:rFonts w:eastAsiaTheme="minorHAnsi"/>
          <w:sz w:val="28"/>
          <w:szCs w:val="28"/>
          <w:lang w:eastAsia="en-US"/>
        </w:rPr>
        <w:t>filiāli, kura Latvijas Republikā darbojas kā kredītiestāde vai ieguldījumu brokeru sabiedrība</w:t>
      </w:r>
      <w:r w:rsidR="000B555E" w:rsidRPr="00FC32DA">
        <w:rPr>
          <w:rFonts w:eastAsiaTheme="minorHAnsi"/>
          <w:sz w:val="28"/>
          <w:szCs w:val="28"/>
          <w:lang w:eastAsia="en-US"/>
        </w:rPr>
        <w:t>, – nosaukums, kopējā aktīvu vērtība un darbības veids;</w:t>
      </w:r>
    </w:p>
    <w:p w14:paraId="4BCC8790" w14:textId="143DB994" w:rsidR="001F355A" w:rsidRPr="00FC32DA" w:rsidRDefault="001F355A" w:rsidP="004116BB">
      <w:pPr>
        <w:tabs>
          <w:tab w:val="left" w:pos="3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3</w:t>
      </w:r>
      <w:r w:rsidR="004116BB" w:rsidRPr="00FC32DA">
        <w:rPr>
          <w:sz w:val="28"/>
          <w:szCs w:val="28"/>
        </w:rPr>
        <w:t>) </w:t>
      </w:r>
      <w:r w:rsidR="000B555E" w:rsidRPr="00FC32DA">
        <w:rPr>
          <w:sz w:val="28"/>
          <w:szCs w:val="28"/>
        </w:rPr>
        <w:t xml:space="preserve">attiecībā uz kredītiestādi </w:t>
      </w:r>
      <w:r w:rsidRPr="00FC32DA">
        <w:rPr>
          <w:sz w:val="28"/>
          <w:szCs w:val="28"/>
        </w:rPr>
        <w:t xml:space="preserve">un ieguldījumu brokeru sabiedrības mātes </w:t>
      </w:r>
      <w:r w:rsidR="000B555E" w:rsidRPr="00FC32DA">
        <w:rPr>
          <w:sz w:val="28"/>
          <w:szCs w:val="28"/>
        </w:rPr>
        <w:t>sabiedrību</w:t>
      </w:r>
      <w:r w:rsidRPr="00FC32DA">
        <w:rPr>
          <w:sz w:val="28"/>
          <w:szCs w:val="28"/>
        </w:rPr>
        <w:t>, kura reģistrēta Latvijas Republikā</w:t>
      </w:r>
      <w:r w:rsidR="000B555E" w:rsidRPr="00FC32DA">
        <w:rPr>
          <w:sz w:val="28"/>
          <w:szCs w:val="28"/>
        </w:rPr>
        <w:t xml:space="preserve">, – </w:t>
      </w:r>
      <w:r w:rsidRPr="00FC32DA">
        <w:rPr>
          <w:sz w:val="28"/>
          <w:szCs w:val="28"/>
        </w:rPr>
        <w:t>nosaukums, veids un ārvalsts grupas nosaukums, pie kuras tā pieder.</w:t>
      </w:r>
      <w:r w:rsidR="00A04EC8" w:rsidRPr="00FC32DA">
        <w:rPr>
          <w:sz w:val="28"/>
          <w:szCs w:val="28"/>
        </w:rPr>
        <w:t>"</w:t>
      </w:r>
    </w:p>
    <w:bookmarkEnd w:id="3"/>
    <w:p w14:paraId="1AE9FBB3" w14:textId="1D69B282" w:rsidR="00CB49C1" w:rsidRPr="00FC32DA" w:rsidRDefault="00CB49C1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B9C2E74" w14:textId="28D99E91" w:rsidR="00CB49C1" w:rsidRPr="00FC32DA" w:rsidRDefault="006E15DC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4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Papildināt pārejas noteikumus ar 71</w:t>
      </w:r>
      <w:r w:rsidR="004116BB" w:rsidRPr="00FC32DA">
        <w:rPr>
          <w:sz w:val="28"/>
          <w:szCs w:val="28"/>
        </w:rPr>
        <w:t xml:space="preserve">. </w:t>
      </w:r>
      <w:r w:rsidR="00CB49C1" w:rsidRPr="00FC32DA">
        <w:rPr>
          <w:sz w:val="28"/>
          <w:szCs w:val="28"/>
        </w:rPr>
        <w:t>un 72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punktu šādā redakcijā:</w:t>
      </w:r>
    </w:p>
    <w:p w14:paraId="63F1AF41" w14:textId="77777777" w:rsidR="00CB49C1" w:rsidRPr="00FC32DA" w:rsidRDefault="00CB49C1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A9534C2" w14:textId="58A06757" w:rsidR="00CB49C1" w:rsidRPr="00FC32DA" w:rsidRDefault="00A04EC8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"</w:t>
      </w:r>
      <w:r w:rsidR="00CB49C1" w:rsidRPr="00FC32DA">
        <w:rPr>
          <w:sz w:val="28"/>
          <w:szCs w:val="28"/>
        </w:rPr>
        <w:t>71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Ārvalsts grupa, kurā ietilpst vairāk nekā viena dalībvalsts kredītiestāde vai ieguldījumu brokeru sabiedrība un kuras kopējā aktīvu vērtība Eiropas Savienībā 2019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gada 27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 xml:space="preserve">jūnijā bija vismaz 40 miljardi </w:t>
      </w:r>
      <w:r w:rsidR="00CB49C1" w:rsidRPr="00FC32DA">
        <w:rPr>
          <w:i/>
          <w:iCs/>
          <w:sz w:val="28"/>
          <w:szCs w:val="28"/>
        </w:rPr>
        <w:t>euro</w:t>
      </w:r>
      <w:r w:rsidR="00CB49C1" w:rsidRPr="00FC32DA">
        <w:rPr>
          <w:sz w:val="28"/>
          <w:szCs w:val="28"/>
        </w:rPr>
        <w:t xml:space="preserve">, atbilstoši šā likuma </w:t>
      </w:r>
      <w:r w:rsidR="00CB49C1" w:rsidRPr="00FC32DA">
        <w:rPr>
          <w:sz w:val="28"/>
          <w:szCs w:val="28"/>
        </w:rPr>
        <w:lastRenderedPageBreak/>
        <w:t>10.</w:t>
      </w:r>
      <w:r w:rsidR="00CB49C1" w:rsidRPr="00FC32DA">
        <w:rPr>
          <w:sz w:val="28"/>
          <w:szCs w:val="28"/>
          <w:vertAlign w:val="superscript"/>
        </w:rPr>
        <w:t>2</w:t>
      </w:r>
      <w:r w:rsidR="004116BB" w:rsidRPr="00FC32DA">
        <w:rPr>
          <w:sz w:val="28"/>
          <w:szCs w:val="28"/>
          <w:vertAlign w:val="superscript"/>
        </w:rPr>
        <w:t> </w:t>
      </w:r>
      <w:r w:rsidR="00CB49C1" w:rsidRPr="00FC32DA">
        <w:rPr>
          <w:sz w:val="28"/>
          <w:szCs w:val="28"/>
        </w:rPr>
        <w:t>panta prasībām izveido mātes sabiedrību Eiropas Savienībā līdz 2023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gada 30</w:t>
      </w:r>
      <w:r w:rsidR="004116BB" w:rsidRPr="00FC32DA">
        <w:rPr>
          <w:sz w:val="28"/>
          <w:szCs w:val="28"/>
        </w:rPr>
        <w:t>. </w:t>
      </w:r>
      <w:r w:rsidR="00CB49C1" w:rsidRPr="00FC32DA">
        <w:rPr>
          <w:sz w:val="28"/>
          <w:szCs w:val="28"/>
        </w:rPr>
        <w:t>decembrim.</w:t>
      </w:r>
    </w:p>
    <w:p w14:paraId="7AF1F835" w14:textId="7E2177FD" w:rsidR="00CB49C1" w:rsidRPr="00FC32DA" w:rsidRDefault="00CB49C1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72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Šā likuma 10.</w:t>
      </w:r>
      <w:r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  <w:vertAlign w:val="superscript"/>
        </w:rPr>
        <w:t> </w:t>
      </w:r>
      <w:r w:rsidRPr="00FC32DA">
        <w:rPr>
          <w:sz w:val="28"/>
          <w:szCs w:val="28"/>
        </w:rPr>
        <w:t>pantā minētā pārvaldītājsabiedrība, kas jau pastāv līdz 2019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gada 27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jūnijam, saņem apstiprinājumu šā likuma 10.</w:t>
      </w:r>
      <w:r w:rsidRPr="00FC32DA">
        <w:rPr>
          <w:sz w:val="28"/>
          <w:szCs w:val="28"/>
          <w:vertAlign w:val="superscript"/>
        </w:rPr>
        <w:t>1</w:t>
      </w:r>
      <w:r w:rsidR="004116BB" w:rsidRPr="00FC32DA">
        <w:rPr>
          <w:sz w:val="28"/>
          <w:szCs w:val="28"/>
          <w:vertAlign w:val="superscript"/>
        </w:rPr>
        <w:t> </w:t>
      </w:r>
      <w:r w:rsidR="007B630E" w:rsidRPr="00FC32DA">
        <w:rPr>
          <w:sz w:val="28"/>
          <w:szCs w:val="28"/>
        </w:rPr>
        <w:t xml:space="preserve">pantā noteiktajā </w:t>
      </w:r>
      <w:r w:rsidRPr="00FC32DA">
        <w:rPr>
          <w:sz w:val="28"/>
          <w:szCs w:val="28"/>
        </w:rPr>
        <w:t>kārtībā līdz 2021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gada 28</w:t>
      </w:r>
      <w:r w:rsidR="004116BB" w:rsidRPr="00FC32DA">
        <w:rPr>
          <w:sz w:val="28"/>
          <w:szCs w:val="28"/>
        </w:rPr>
        <w:t>. </w:t>
      </w:r>
      <w:r w:rsidRPr="00FC32DA">
        <w:rPr>
          <w:sz w:val="28"/>
          <w:szCs w:val="28"/>
        </w:rPr>
        <w:t>jūnijam.</w:t>
      </w:r>
      <w:r w:rsidR="00A04EC8" w:rsidRPr="00FC32DA">
        <w:rPr>
          <w:sz w:val="28"/>
          <w:szCs w:val="28"/>
        </w:rPr>
        <w:t>"</w:t>
      </w:r>
    </w:p>
    <w:p w14:paraId="15477DDA" w14:textId="1C422B7B" w:rsidR="00E85F1C" w:rsidRPr="00FC32DA" w:rsidRDefault="00E85F1C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122EEAC" w14:textId="12A5952A" w:rsidR="00E85F1C" w:rsidRPr="00FC32DA" w:rsidRDefault="006E15DC" w:rsidP="004116BB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5</w:t>
      </w:r>
      <w:r w:rsidR="004116BB" w:rsidRPr="00FC32DA">
        <w:rPr>
          <w:sz w:val="28"/>
          <w:szCs w:val="28"/>
        </w:rPr>
        <w:t>. </w:t>
      </w:r>
      <w:r w:rsidR="00E85F1C" w:rsidRPr="00FC32DA">
        <w:rPr>
          <w:sz w:val="28"/>
          <w:szCs w:val="28"/>
        </w:rPr>
        <w:t>Papildināt informatīv</w:t>
      </w:r>
      <w:r w:rsidR="00150F84" w:rsidRPr="00FC32DA">
        <w:rPr>
          <w:sz w:val="28"/>
          <w:szCs w:val="28"/>
        </w:rPr>
        <w:t>o</w:t>
      </w:r>
      <w:r w:rsidR="00E85F1C" w:rsidRPr="00FC32DA">
        <w:rPr>
          <w:sz w:val="28"/>
          <w:szCs w:val="28"/>
        </w:rPr>
        <w:t xml:space="preserve"> atsauc</w:t>
      </w:r>
      <w:r w:rsidR="0098422D" w:rsidRPr="00FC32DA">
        <w:rPr>
          <w:sz w:val="28"/>
          <w:szCs w:val="28"/>
        </w:rPr>
        <w:t>i</w:t>
      </w:r>
      <w:r w:rsidR="00E85F1C" w:rsidRPr="00FC32DA">
        <w:rPr>
          <w:sz w:val="28"/>
          <w:szCs w:val="28"/>
        </w:rPr>
        <w:t xml:space="preserve"> uz Eiropas Savienības direktīv</w:t>
      </w:r>
      <w:r w:rsidR="00150F84" w:rsidRPr="00FC32DA">
        <w:rPr>
          <w:sz w:val="28"/>
          <w:szCs w:val="28"/>
        </w:rPr>
        <w:t>ām</w:t>
      </w:r>
      <w:r w:rsidR="00E85F1C" w:rsidRPr="00FC32DA">
        <w:rPr>
          <w:sz w:val="28"/>
          <w:szCs w:val="28"/>
        </w:rPr>
        <w:t xml:space="preserve"> </w:t>
      </w:r>
      <w:r w:rsidR="00150F84" w:rsidRPr="00FC32DA">
        <w:rPr>
          <w:sz w:val="28"/>
          <w:szCs w:val="28"/>
        </w:rPr>
        <w:t>ar 4</w:t>
      </w:r>
      <w:r w:rsidR="00BC6BAC" w:rsidRPr="00FC32DA">
        <w:rPr>
          <w:sz w:val="28"/>
          <w:szCs w:val="28"/>
        </w:rPr>
        <w:t>5</w:t>
      </w:r>
      <w:r w:rsidR="004116BB" w:rsidRPr="00FC32DA">
        <w:rPr>
          <w:sz w:val="28"/>
          <w:szCs w:val="28"/>
        </w:rPr>
        <w:t>. </w:t>
      </w:r>
      <w:r w:rsidR="00150F84" w:rsidRPr="00FC32DA">
        <w:rPr>
          <w:sz w:val="28"/>
          <w:szCs w:val="28"/>
        </w:rPr>
        <w:t xml:space="preserve">punktu </w:t>
      </w:r>
      <w:r w:rsidR="00E85F1C" w:rsidRPr="00FC32DA">
        <w:rPr>
          <w:sz w:val="28"/>
          <w:szCs w:val="28"/>
        </w:rPr>
        <w:t>šādā redakcijā:</w:t>
      </w:r>
    </w:p>
    <w:p w14:paraId="496C246B" w14:textId="77777777" w:rsidR="006E15DC" w:rsidRPr="00FC32DA" w:rsidRDefault="006E15DC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4AFB2CA" w14:textId="0F821153" w:rsidR="00E85F1C" w:rsidRPr="00FC32DA" w:rsidRDefault="00A04EC8" w:rsidP="004116B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C32DA">
        <w:rPr>
          <w:sz w:val="28"/>
          <w:szCs w:val="28"/>
        </w:rPr>
        <w:t>"</w:t>
      </w:r>
      <w:r w:rsidR="00E85F1C" w:rsidRPr="00FC32DA">
        <w:rPr>
          <w:sz w:val="28"/>
          <w:szCs w:val="28"/>
        </w:rPr>
        <w:t>4</w:t>
      </w:r>
      <w:r w:rsidR="00BC6BAC" w:rsidRPr="00FC32DA">
        <w:rPr>
          <w:sz w:val="28"/>
          <w:szCs w:val="28"/>
        </w:rPr>
        <w:t>5</w:t>
      </w:r>
      <w:r w:rsidR="004116BB" w:rsidRPr="00FC32DA">
        <w:rPr>
          <w:sz w:val="28"/>
          <w:szCs w:val="28"/>
        </w:rPr>
        <w:t>) </w:t>
      </w:r>
      <w:r w:rsidR="00BC6BAC" w:rsidRPr="00FC32DA">
        <w:rPr>
          <w:bCs/>
          <w:iCs/>
          <w:sz w:val="28"/>
          <w:szCs w:val="28"/>
        </w:rPr>
        <w:t>Eiropas Parlamenta un Padomes 2019</w:t>
      </w:r>
      <w:r w:rsidR="004116BB" w:rsidRPr="00FC32DA">
        <w:rPr>
          <w:bCs/>
          <w:iCs/>
          <w:sz w:val="28"/>
          <w:szCs w:val="28"/>
        </w:rPr>
        <w:t>. </w:t>
      </w:r>
      <w:r w:rsidR="00BC6BAC" w:rsidRPr="00FC32DA">
        <w:rPr>
          <w:bCs/>
          <w:iCs/>
          <w:sz w:val="28"/>
          <w:szCs w:val="28"/>
        </w:rPr>
        <w:t>gada 20</w:t>
      </w:r>
      <w:r w:rsidR="004116BB" w:rsidRPr="00FC32DA">
        <w:rPr>
          <w:bCs/>
          <w:iCs/>
          <w:sz w:val="28"/>
          <w:szCs w:val="28"/>
        </w:rPr>
        <w:t>. </w:t>
      </w:r>
      <w:r w:rsidR="00BC6BAC" w:rsidRPr="00FC32DA">
        <w:rPr>
          <w:bCs/>
          <w:iCs/>
          <w:sz w:val="28"/>
          <w:szCs w:val="28"/>
        </w:rPr>
        <w:t>maija direktīva</w:t>
      </w:r>
      <w:r w:rsidR="00157F93" w:rsidRPr="00FC32DA">
        <w:rPr>
          <w:bCs/>
          <w:iCs/>
          <w:sz w:val="28"/>
          <w:szCs w:val="28"/>
        </w:rPr>
        <w:t>s</w:t>
      </w:r>
      <w:r w:rsidR="00BC6BAC" w:rsidRPr="00FC32DA">
        <w:rPr>
          <w:bCs/>
          <w:iCs/>
          <w:sz w:val="28"/>
          <w:szCs w:val="28"/>
        </w:rPr>
        <w:t xml:space="preserve"> (ES</w:t>
      </w:r>
      <w:r w:rsidR="004116BB" w:rsidRPr="00FC32DA">
        <w:rPr>
          <w:bCs/>
          <w:iCs/>
          <w:sz w:val="28"/>
          <w:szCs w:val="28"/>
        </w:rPr>
        <w:t xml:space="preserve">) </w:t>
      </w:r>
      <w:r w:rsidR="00BC6BAC" w:rsidRPr="00FC32DA">
        <w:rPr>
          <w:bCs/>
          <w:iCs/>
          <w:spacing w:val="-2"/>
          <w:sz w:val="28"/>
          <w:szCs w:val="28"/>
        </w:rPr>
        <w:t xml:space="preserve">2019/878, ar ko </w:t>
      </w:r>
      <w:r w:rsidR="007A44E0" w:rsidRPr="00FC32DA">
        <w:rPr>
          <w:bCs/>
          <w:iCs/>
          <w:spacing w:val="-2"/>
          <w:sz w:val="28"/>
          <w:szCs w:val="28"/>
        </w:rPr>
        <w:t xml:space="preserve">direktīvu </w:t>
      </w:r>
      <w:r w:rsidR="00BC6BAC" w:rsidRPr="00FC32DA">
        <w:rPr>
          <w:bCs/>
          <w:iCs/>
          <w:spacing w:val="-2"/>
          <w:sz w:val="28"/>
          <w:szCs w:val="28"/>
        </w:rPr>
        <w:t xml:space="preserve">2013/36/ES </w:t>
      </w:r>
      <w:r w:rsidR="00157F93" w:rsidRPr="00FC32DA">
        <w:rPr>
          <w:bCs/>
          <w:iCs/>
          <w:spacing w:val="-2"/>
          <w:sz w:val="28"/>
          <w:szCs w:val="28"/>
        </w:rPr>
        <w:t xml:space="preserve">groza </w:t>
      </w:r>
      <w:r w:rsidR="00BC6BAC" w:rsidRPr="00FC32DA">
        <w:rPr>
          <w:bCs/>
          <w:iCs/>
          <w:spacing w:val="-2"/>
          <w:sz w:val="28"/>
          <w:szCs w:val="28"/>
        </w:rPr>
        <w:t>attiecībā uz atbrīvotajām sabiedrībām,</w:t>
      </w:r>
      <w:r w:rsidR="00BC6BAC" w:rsidRPr="00FC32DA">
        <w:rPr>
          <w:bCs/>
          <w:iCs/>
          <w:sz w:val="28"/>
          <w:szCs w:val="28"/>
        </w:rPr>
        <w:t xml:space="preserve"> finanšu pārvaldītājsabiedrībām, jauktām finanšu pārvaldītājsabiedrībām, atalgojumu, uzraudzības pasākumiem un pilnvarām, kā arī kapitāla saglabāšanas pasākumiem</w:t>
      </w:r>
      <w:r w:rsidR="00E85F1C" w:rsidRPr="00FC32DA">
        <w:rPr>
          <w:sz w:val="28"/>
          <w:szCs w:val="28"/>
        </w:rPr>
        <w:t>.</w:t>
      </w:r>
      <w:r w:rsidRPr="00FC32DA">
        <w:rPr>
          <w:sz w:val="28"/>
          <w:szCs w:val="28"/>
        </w:rPr>
        <w:t>"</w:t>
      </w:r>
    </w:p>
    <w:p w14:paraId="42EFC9FC" w14:textId="1D902DB4" w:rsidR="005C00F4" w:rsidRPr="00FC32DA" w:rsidRDefault="005C00F4" w:rsidP="004116B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170E99" w14:textId="77777777" w:rsidR="003B6F32" w:rsidRPr="00FC32DA" w:rsidRDefault="003B6F32" w:rsidP="004116B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3029186" w14:textId="77777777" w:rsidR="00A04EC8" w:rsidRPr="00FC32DA" w:rsidRDefault="00A04EC8" w:rsidP="004116B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0CF489" w14:textId="77777777" w:rsidR="00A04EC8" w:rsidRPr="00FC32DA" w:rsidRDefault="00A04EC8" w:rsidP="004116B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C32DA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5495AA0E" w14:textId="5AAAEE6F" w:rsidR="00A04EC8" w:rsidRPr="00FC32DA" w:rsidRDefault="00A04EC8" w:rsidP="004116B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C32DA">
        <w:rPr>
          <w:rFonts w:ascii="Times New Roman" w:hAnsi="Times New Roman"/>
          <w:color w:val="auto"/>
          <w:sz w:val="28"/>
          <w:lang w:val="de-DE"/>
        </w:rPr>
        <w:t>J</w:t>
      </w:r>
      <w:r w:rsidR="004116BB" w:rsidRPr="00FC32DA">
        <w:rPr>
          <w:rFonts w:ascii="Times New Roman" w:hAnsi="Times New Roman"/>
          <w:color w:val="auto"/>
          <w:sz w:val="28"/>
          <w:lang w:val="de-DE"/>
        </w:rPr>
        <w:t>. </w:t>
      </w:r>
      <w:r w:rsidRPr="00FC32DA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A04EC8" w:rsidRPr="00FC32DA" w:rsidSect="00A04EC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4624" w14:textId="77777777" w:rsidR="00AF7D20" w:rsidRDefault="00AF7D20" w:rsidP="00636F65">
      <w:pPr>
        <w:spacing w:after="0" w:line="240" w:lineRule="auto"/>
      </w:pPr>
      <w:r>
        <w:separator/>
      </w:r>
    </w:p>
  </w:endnote>
  <w:endnote w:type="continuationSeparator" w:id="0">
    <w:p w14:paraId="0D7C64F9" w14:textId="77777777" w:rsidR="00AF7D20" w:rsidRDefault="00AF7D20" w:rsidP="006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71B4" w14:textId="7C8B85E0" w:rsidR="00006337" w:rsidRPr="00A04EC8" w:rsidRDefault="00A04EC8" w:rsidP="00A04EC8">
    <w:pPr>
      <w:pStyle w:val="Footer"/>
      <w:rPr>
        <w:sz w:val="16"/>
        <w:szCs w:val="16"/>
      </w:rPr>
    </w:pPr>
    <w:r w:rsidRPr="00A04EC8">
      <w:rPr>
        <w:sz w:val="16"/>
        <w:szCs w:val="16"/>
      </w:rPr>
      <w:t>L2606_0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03C8" w14:textId="0BDF5E58" w:rsidR="00A04EC8" w:rsidRPr="00A04EC8" w:rsidRDefault="00A04EC8">
    <w:pPr>
      <w:pStyle w:val="Footer"/>
      <w:rPr>
        <w:sz w:val="16"/>
        <w:szCs w:val="16"/>
      </w:rPr>
    </w:pPr>
    <w:r w:rsidRPr="00A04EC8">
      <w:rPr>
        <w:sz w:val="16"/>
        <w:szCs w:val="16"/>
      </w:rPr>
      <w:t>L2606_0</w:t>
    </w:r>
    <w:r>
      <w:rPr>
        <w:sz w:val="16"/>
        <w:szCs w:val="16"/>
      </w:rPr>
      <w:t xml:space="preserve"> </w:t>
    </w:r>
    <w:bookmarkStart w:id="4" w:name="_Hlk26364611"/>
    <w:r w:rsidRPr="008709C1">
      <w:rPr>
        <w:sz w:val="16"/>
        <w:szCs w:val="16"/>
      </w:rPr>
      <w:t>v_sk</w:t>
    </w:r>
    <w:r w:rsidR="004116BB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bookmarkEnd w:id="4"/>
    <w:r w:rsidR="00690B7B" w:rsidRPr="008709C1">
      <w:rPr>
        <w:sz w:val="16"/>
        <w:szCs w:val="16"/>
      </w:rPr>
      <w:fldChar w:fldCharType="begin"/>
    </w:r>
    <w:r w:rsidR="00690B7B" w:rsidRPr="008709C1">
      <w:rPr>
        <w:sz w:val="16"/>
        <w:szCs w:val="16"/>
      </w:rPr>
      <w:instrText xml:space="preserve"> NUMWORDS  \* MERGEFORMAT </w:instrText>
    </w:r>
    <w:r w:rsidR="00690B7B" w:rsidRPr="008709C1">
      <w:rPr>
        <w:sz w:val="16"/>
        <w:szCs w:val="16"/>
      </w:rPr>
      <w:fldChar w:fldCharType="separate"/>
    </w:r>
    <w:r w:rsidR="00C8169D">
      <w:rPr>
        <w:noProof/>
        <w:sz w:val="16"/>
        <w:szCs w:val="16"/>
      </w:rPr>
      <w:t>1</w:t>
    </w:r>
    <w:r w:rsidR="00EE3B87">
      <w:rPr>
        <w:noProof/>
        <w:sz w:val="16"/>
        <w:szCs w:val="16"/>
      </w:rPr>
      <w:t>101</w:t>
    </w:r>
    <w:r w:rsidR="00690B7B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EA13" w14:textId="77777777" w:rsidR="00AF7D20" w:rsidRDefault="00AF7D20" w:rsidP="00636F65">
      <w:pPr>
        <w:spacing w:after="0" w:line="240" w:lineRule="auto"/>
      </w:pPr>
      <w:r>
        <w:separator/>
      </w:r>
    </w:p>
  </w:footnote>
  <w:footnote w:type="continuationSeparator" w:id="0">
    <w:p w14:paraId="44F7D759" w14:textId="77777777" w:rsidR="00AF7D20" w:rsidRDefault="00AF7D20" w:rsidP="006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163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77A021" w14:textId="0CCF985A" w:rsidR="00A04EC8" w:rsidRDefault="00A04E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5FA60" w14:textId="77777777" w:rsidR="00A04EC8" w:rsidRDefault="00A0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5EC"/>
    <w:multiLevelType w:val="hybridMultilevel"/>
    <w:tmpl w:val="A39AC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D4C"/>
    <w:multiLevelType w:val="hybridMultilevel"/>
    <w:tmpl w:val="7DF0E738"/>
    <w:lvl w:ilvl="0" w:tplc="04260017">
      <w:start w:val="1"/>
      <w:numFmt w:val="lowerLetter"/>
      <w:lvlText w:val="%1)"/>
      <w:lvlJc w:val="left"/>
      <w:pPr>
        <w:ind w:left="1496" w:hanging="360"/>
      </w:pPr>
    </w:lvl>
    <w:lvl w:ilvl="1" w:tplc="04260019">
      <w:start w:val="1"/>
      <w:numFmt w:val="lowerLetter"/>
      <w:lvlText w:val="%2."/>
      <w:lvlJc w:val="left"/>
      <w:pPr>
        <w:ind w:left="2216" w:hanging="360"/>
      </w:pPr>
    </w:lvl>
    <w:lvl w:ilvl="2" w:tplc="0426001B">
      <w:start w:val="1"/>
      <w:numFmt w:val="lowerRoman"/>
      <w:lvlText w:val="%3."/>
      <w:lvlJc w:val="right"/>
      <w:pPr>
        <w:ind w:left="2936" w:hanging="180"/>
      </w:pPr>
    </w:lvl>
    <w:lvl w:ilvl="3" w:tplc="0426000F">
      <w:start w:val="1"/>
      <w:numFmt w:val="decimal"/>
      <w:lvlText w:val="%4."/>
      <w:lvlJc w:val="left"/>
      <w:pPr>
        <w:ind w:left="3656" w:hanging="360"/>
      </w:pPr>
    </w:lvl>
    <w:lvl w:ilvl="4" w:tplc="04260019">
      <w:start w:val="1"/>
      <w:numFmt w:val="lowerLetter"/>
      <w:lvlText w:val="%5."/>
      <w:lvlJc w:val="left"/>
      <w:pPr>
        <w:ind w:left="4376" w:hanging="360"/>
      </w:pPr>
    </w:lvl>
    <w:lvl w:ilvl="5" w:tplc="0426001B">
      <w:start w:val="1"/>
      <w:numFmt w:val="lowerRoman"/>
      <w:lvlText w:val="%6."/>
      <w:lvlJc w:val="right"/>
      <w:pPr>
        <w:ind w:left="5096" w:hanging="180"/>
      </w:pPr>
    </w:lvl>
    <w:lvl w:ilvl="6" w:tplc="0426000F">
      <w:start w:val="1"/>
      <w:numFmt w:val="decimal"/>
      <w:lvlText w:val="%7."/>
      <w:lvlJc w:val="left"/>
      <w:pPr>
        <w:ind w:left="5816" w:hanging="360"/>
      </w:pPr>
    </w:lvl>
    <w:lvl w:ilvl="7" w:tplc="04260019">
      <w:start w:val="1"/>
      <w:numFmt w:val="lowerLetter"/>
      <w:lvlText w:val="%8."/>
      <w:lvlJc w:val="left"/>
      <w:pPr>
        <w:ind w:left="6536" w:hanging="360"/>
      </w:pPr>
    </w:lvl>
    <w:lvl w:ilvl="8" w:tplc="0426001B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1D7F5B61"/>
    <w:multiLevelType w:val="hybridMultilevel"/>
    <w:tmpl w:val="7AAED8C4"/>
    <w:lvl w:ilvl="0" w:tplc="61BE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BB25A7"/>
    <w:multiLevelType w:val="hybridMultilevel"/>
    <w:tmpl w:val="DD50E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73C"/>
    <w:multiLevelType w:val="hybridMultilevel"/>
    <w:tmpl w:val="2E480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17A"/>
    <w:multiLevelType w:val="hybridMultilevel"/>
    <w:tmpl w:val="FDC64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B3C"/>
    <w:multiLevelType w:val="hybridMultilevel"/>
    <w:tmpl w:val="817E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4494"/>
    <w:multiLevelType w:val="hybridMultilevel"/>
    <w:tmpl w:val="C7021886"/>
    <w:lvl w:ilvl="0" w:tplc="ED742B9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DAE75A9"/>
    <w:multiLevelType w:val="hybridMultilevel"/>
    <w:tmpl w:val="BF2A6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31EA"/>
    <w:multiLevelType w:val="hybridMultilevel"/>
    <w:tmpl w:val="35B6FAC6"/>
    <w:lvl w:ilvl="0" w:tplc="6C9E538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30C49"/>
    <w:multiLevelType w:val="hybridMultilevel"/>
    <w:tmpl w:val="78F4A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0874"/>
    <w:multiLevelType w:val="hybridMultilevel"/>
    <w:tmpl w:val="56F8E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3CBF"/>
    <w:multiLevelType w:val="multilevel"/>
    <w:tmpl w:val="513C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707FF6"/>
    <w:multiLevelType w:val="hybridMultilevel"/>
    <w:tmpl w:val="5596E3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55806"/>
    <w:multiLevelType w:val="hybridMultilevel"/>
    <w:tmpl w:val="138C5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1522"/>
    <w:multiLevelType w:val="hybridMultilevel"/>
    <w:tmpl w:val="B67409DE"/>
    <w:lvl w:ilvl="0" w:tplc="0914B6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FA1906"/>
    <w:multiLevelType w:val="hybridMultilevel"/>
    <w:tmpl w:val="27D46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E58C6"/>
    <w:multiLevelType w:val="hybridMultilevel"/>
    <w:tmpl w:val="F28688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455E"/>
    <w:multiLevelType w:val="hybridMultilevel"/>
    <w:tmpl w:val="ABF8F176"/>
    <w:lvl w:ilvl="0" w:tplc="C5A874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CF923F2"/>
    <w:multiLevelType w:val="hybridMultilevel"/>
    <w:tmpl w:val="5232C356"/>
    <w:lvl w:ilvl="0" w:tplc="0B52C4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04E5F"/>
    <w:multiLevelType w:val="hybridMultilevel"/>
    <w:tmpl w:val="8314331E"/>
    <w:lvl w:ilvl="0" w:tplc="8BB07738">
      <w:start w:val="1"/>
      <w:numFmt w:val="decimal"/>
      <w:lvlText w:val="%1)"/>
      <w:lvlJc w:val="left"/>
      <w:pPr>
        <w:ind w:left="58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7E2A76C1"/>
    <w:multiLevelType w:val="hybridMultilevel"/>
    <w:tmpl w:val="FFB44550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9"/>
  </w:num>
  <w:num w:numId="5">
    <w:abstractNumId w:val="22"/>
  </w:num>
  <w:num w:numId="6">
    <w:abstractNumId w:val="2"/>
  </w:num>
  <w:num w:numId="7">
    <w:abstractNumId w:val="13"/>
  </w:num>
  <w:num w:numId="8">
    <w:abstractNumId w:val="14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7"/>
    <w:rsid w:val="000024DF"/>
    <w:rsid w:val="000031FC"/>
    <w:rsid w:val="00006337"/>
    <w:rsid w:val="000127A9"/>
    <w:rsid w:val="000160AA"/>
    <w:rsid w:val="00017D9A"/>
    <w:rsid w:val="000242B3"/>
    <w:rsid w:val="0002476C"/>
    <w:rsid w:val="00025262"/>
    <w:rsid w:val="00025476"/>
    <w:rsid w:val="00025ED5"/>
    <w:rsid w:val="000269D3"/>
    <w:rsid w:val="00030371"/>
    <w:rsid w:val="00030697"/>
    <w:rsid w:val="00031C13"/>
    <w:rsid w:val="000355E3"/>
    <w:rsid w:val="000358BD"/>
    <w:rsid w:val="00035D60"/>
    <w:rsid w:val="0005037E"/>
    <w:rsid w:val="00050870"/>
    <w:rsid w:val="000519E2"/>
    <w:rsid w:val="00051ACD"/>
    <w:rsid w:val="00055C52"/>
    <w:rsid w:val="000575F2"/>
    <w:rsid w:val="00060C6A"/>
    <w:rsid w:val="00062AAE"/>
    <w:rsid w:val="000664AC"/>
    <w:rsid w:val="00067DDC"/>
    <w:rsid w:val="000732F1"/>
    <w:rsid w:val="00077850"/>
    <w:rsid w:val="00080A2D"/>
    <w:rsid w:val="00080A9D"/>
    <w:rsid w:val="00080FD6"/>
    <w:rsid w:val="0008128F"/>
    <w:rsid w:val="00083803"/>
    <w:rsid w:val="00083F2A"/>
    <w:rsid w:val="00085E60"/>
    <w:rsid w:val="00086AB6"/>
    <w:rsid w:val="00087F6A"/>
    <w:rsid w:val="00091E33"/>
    <w:rsid w:val="00095284"/>
    <w:rsid w:val="000A1D99"/>
    <w:rsid w:val="000A2A98"/>
    <w:rsid w:val="000A603E"/>
    <w:rsid w:val="000B0B12"/>
    <w:rsid w:val="000B1472"/>
    <w:rsid w:val="000B4F6E"/>
    <w:rsid w:val="000B4FEA"/>
    <w:rsid w:val="000B555E"/>
    <w:rsid w:val="000C04CF"/>
    <w:rsid w:val="000C20BD"/>
    <w:rsid w:val="000C6DB1"/>
    <w:rsid w:val="000C7603"/>
    <w:rsid w:val="000D2DCD"/>
    <w:rsid w:val="000D6859"/>
    <w:rsid w:val="000D6FC1"/>
    <w:rsid w:val="000D7135"/>
    <w:rsid w:val="000D7736"/>
    <w:rsid w:val="000E078E"/>
    <w:rsid w:val="000E3648"/>
    <w:rsid w:val="000E6844"/>
    <w:rsid w:val="000F0081"/>
    <w:rsid w:val="000F00A2"/>
    <w:rsid w:val="000F2423"/>
    <w:rsid w:val="000F2C33"/>
    <w:rsid w:val="00101860"/>
    <w:rsid w:val="001061FB"/>
    <w:rsid w:val="00107136"/>
    <w:rsid w:val="00110A02"/>
    <w:rsid w:val="00110A59"/>
    <w:rsid w:val="00121F20"/>
    <w:rsid w:val="00125F37"/>
    <w:rsid w:val="0012690B"/>
    <w:rsid w:val="0013128F"/>
    <w:rsid w:val="0013142C"/>
    <w:rsid w:val="00140A5B"/>
    <w:rsid w:val="00141EC4"/>
    <w:rsid w:val="001451BA"/>
    <w:rsid w:val="00146C77"/>
    <w:rsid w:val="00150F84"/>
    <w:rsid w:val="001516DB"/>
    <w:rsid w:val="00152FFF"/>
    <w:rsid w:val="00156091"/>
    <w:rsid w:val="00157325"/>
    <w:rsid w:val="0015732B"/>
    <w:rsid w:val="00157F93"/>
    <w:rsid w:val="00162760"/>
    <w:rsid w:val="00162F69"/>
    <w:rsid w:val="0016301B"/>
    <w:rsid w:val="001654AB"/>
    <w:rsid w:val="001674D9"/>
    <w:rsid w:val="0017363F"/>
    <w:rsid w:val="00173EF9"/>
    <w:rsid w:val="00175E00"/>
    <w:rsid w:val="00176899"/>
    <w:rsid w:val="001804DE"/>
    <w:rsid w:val="001807A4"/>
    <w:rsid w:val="001808CD"/>
    <w:rsid w:val="00180993"/>
    <w:rsid w:val="00181B31"/>
    <w:rsid w:val="00183288"/>
    <w:rsid w:val="001861BB"/>
    <w:rsid w:val="001866E4"/>
    <w:rsid w:val="0019483C"/>
    <w:rsid w:val="0019610A"/>
    <w:rsid w:val="001965D3"/>
    <w:rsid w:val="001A074C"/>
    <w:rsid w:val="001A09EF"/>
    <w:rsid w:val="001A26D1"/>
    <w:rsid w:val="001A47BD"/>
    <w:rsid w:val="001A4877"/>
    <w:rsid w:val="001A4C86"/>
    <w:rsid w:val="001B051B"/>
    <w:rsid w:val="001B09C4"/>
    <w:rsid w:val="001B10E6"/>
    <w:rsid w:val="001B4CF6"/>
    <w:rsid w:val="001B4EDA"/>
    <w:rsid w:val="001C0312"/>
    <w:rsid w:val="001C0AD0"/>
    <w:rsid w:val="001C1622"/>
    <w:rsid w:val="001C3F97"/>
    <w:rsid w:val="001C6E72"/>
    <w:rsid w:val="001D0DAA"/>
    <w:rsid w:val="001D1A6A"/>
    <w:rsid w:val="001D7C72"/>
    <w:rsid w:val="001E1649"/>
    <w:rsid w:val="001E32CA"/>
    <w:rsid w:val="001E614D"/>
    <w:rsid w:val="001E7BD3"/>
    <w:rsid w:val="001F1979"/>
    <w:rsid w:val="001F355A"/>
    <w:rsid w:val="001F4458"/>
    <w:rsid w:val="001F4902"/>
    <w:rsid w:val="001F595D"/>
    <w:rsid w:val="001F795B"/>
    <w:rsid w:val="0020141A"/>
    <w:rsid w:val="00201F52"/>
    <w:rsid w:val="002020E3"/>
    <w:rsid w:val="00202310"/>
    <w:rsid w:val="00202896"/>
    <w:rsid w:val="002033F6"/>
    <w:rsid w:val="00204098"/>
    <w:rsid w:val="00205E83"/>
    <w:rsid w:val="002112D3"/>
    <w:rsid w:val="00211608"/>
    <w:rsid w:val="002130C2"/>
    <w:rsid w:val="00215D20"/>
    <w:rsid w:val="00222015"/>
    <w:rsid w:val="00231B9F"/>
    <w:rsid w:val="0023220E"/>
    <w:rsid w:val="00236261"/>
    <w:rsid w:val="00236324"/>
    <w:rsid w:val="00236560"/>
    <w:rsid w:val="00236E30"/>
    <w:rsid w:val="00237F7E"/>
    <w:rsid w:val="002417BD"/>
    <w:rsid w:val="002455BF"/>
    <w:rsid w:val="002455EA"/>
    <w:rsid w:val="00246798"/>
    <w:rsid w:val="0025239C"/>
    <w:rsid w:val="00257D3E"/>
    <w:rsid w:val="0026390A"/>
    <w:rsid w:val="00273468"/>
    <w:rsid w:val="00273B47"/>
    <w:rsid w:val="0027550E"/>
    <w:rsid w:val="0027719E"/>
    <w:rsid w:val="0028284A"/>
    <w:rsid w:val="00290F04"/>
    <w:rsid w:val="00292A67"/>
    <w:rsid w:val="00293D27"/>
    <w:rsid w:val="002A3BDD"/>
    <w:rsid w:val="002A4BBD"/>
    <w:rsid w:val="002A7C2F"/>
    <w:rsid w:val="002B2EB4"/>
    <w:rsid w:val="002B6213"/>
    <w:rsid w:val="002C030F"/>
    <w:rsid w:val="002C129A"/>
    <w:rsid w:val="002C3962"/>
    <w:rsid w:val="002C499F"/>
    <w:rsid w:val="002C5455"/>
    <w:rsid w:val="002C6753"/>
    <w:rsid w:val="002C7593"/>
    <w:rsid w:val="002D0ADF"/>
    <w:rsid w:val="002D6E75"/>
    <w:rsid w:val="002D7073"/>
    <w:rsid w:val="002E08CE"/>
    <w:rsid w:val="002E35F3"/>
    <w:rsid w:val="002E6B5E"/>
    <w:rsid w:val="002E7C66"/>
    <w:rsid w:val="002F0369"/>
    <w:rsid w:val="002F0E3A"/>
    <w:rsid w:val="002F2B22"/>
    <w:rsid w:val="002F361B"/>
    <w:rsid w:val="002F401B"/>
    <w:rsid w:val="002F53B1"/>
    <w:rsid w:val="002F79AF"/>
    <w:rsid w:val="002F7D64"/>
    <w:rsid w:val="00301997"/>
    <w:rsid w:val="00301B76"/>
    <w:rsid w:val="00304345"/>
    <w:rsid w:val="00305FFB"/>
    <w:rsid w:val="0030644D"/>
    <w:rsid w:val="00312460"/>
    <w:rsid w:val="00314913"/>
    <w:rsid w:val="003157C5"/>
    <w:rsid w:val="00316993"/>
    <w:rsid w:val="00317704"/>
    <w:rsid w:val="00322395"/>
    <w:rsid w:val="003227F2"/>
    <w:rsid w:val="00324D2F"/>
    <w:rsid w:val="0032542C"/>
    <w:rsid w:val="00325FCC"/>
    <w:rsid w:val="003332F2"/>
    <w:rsid w:val="0033764E"/>
    <w:rsid w:val="0034006A"/>
    <w:rsid w:val="003403A0"/>
    <w:rsid w:val="0034066C"/>
    <w:rsid w:val="00341BC8"/>
    <w:rsid w:val="00343A0C"/>
    <w:rsid w:val="00350511"/>
    <w:rsid w:val="00353714"/>
    <w:rsid w:val="00357217"/>
    <w:rsid w:val="003579D9"/>
    <w:rsid w:val="00360229"/>
    <w:rsid w:val="00366993"/>
    <w:rsid w:val="00370357"/>
    <w:rsid w:val="00381811"/>
    <w:rsid w:val="0038319B"/>
    <w:rsid w:val="00383335"/>
    <w:rsid w:val="00386943"/>
    <w:rsid w:val="00386F60"/>
    <w:rsid w:val="00387534"/>
    <w:rsid w:val="00387FCA"/>
    <w:rsid w:val="003923D7"/>
    <w:rsid w:val="00396532"/>
    <w:rsid w:val="00397396"/>
    <w:rsid w:val="00397662"/>
    <w:rsid w:val="003A0CB3"/>
    <w:rsid w:val="003A4504"/>
    <w:rsid w:val="003B01EE"/>
    <w:rsid w:val="003B1648"/>
    <w:rsid w:val="003B188A"/>
    <w:rsid w:val="003B40CD"/>
    <w:rsid w:val="003B6F32"/>
    <w:rsid w:val="003C00BB"/>
    <w:rsid w:val="003C05E0"/>
    <w:rsid w:val="003C1763"/>
    <w:rsid w:val="003C2805"/>
    <w:rsid w:val="003C3B0F"/>
    <w:rsid w:val="003D07AA"/>
    <w:rsid w:val="003D119F"/>
    <w:rsid w:val="003D3131"/>
    <w:rsid w:val="003D6A6E"/>
    <w:rsid w:val="003D7898"/>
    <w:rsid w:val="003E4334"/>
    <w:rsid w:val="003E683F"/>
    <w:rsid w:val="003E6BC4"/>
    <w:rsid w:val="003E75E8"/>
    <w:rsid w:val="003E78F2"/>
    <w:rsid w:val="003F026E"/>
    <w:rsid w:val="003F0564"/>
    <w:rsid w:val="003F3285"/>
    <w:rsid w:val="003F3F55"/>
    <w:rsid w:val="003F41F2"/>
    <w:rsid w:val="003F43DA"/>
    <w:rsid w:val="0040074D"/>
    <w:rsid w:val="00400CDD"/>
    <w:rsid w:val="00401194"/>
    <w:rsid w:val="00404E36"/>
    <w:rsid w:val="00410D03"/>
    <w:rsid w:val="004116BB"/>
    <w:rsid w:val="004143AA"/>
    <w:rsid w:val="00417F4B"/>
    <w:rsid w:val="004210FC"/>
    <w:rsid w:val="004220D1"/>
    <w:rsid w:val="00423EE5"/>
    <w:rsid w:val="00425E27"/>
    <w:rsid w:val="00425F97"/>
    <w:rsid w:val="0042675B"/>
    <w:rsid w:val="00426C60"/>
    <w:rsid w:val="0043152B"/>
    <w:rsid w:val="004321E2"/>
    <w:rsid w:val="004334BC"/>
    <w:rsid w:val="00434FCB"/>
    <w:rsid w:val="004350B4"/>
    <w:rsid w:val="00437627"/>
    <w:rsid w:val="00437D43"/>
    <w:rsid w:val="00441946"/>
    <w:rsid w:val="00443927"/>
    <w:rsid w:val="00444EA5"/>
    <w:rsid w:val="00445863"/>
    <w:rsid w:val="00446B34"/>
    <w:rsid w:val="00452768"/>
    <w:rsid w:val="004538BA"/>
    <w:rsid w:val="00453BEB"/>
    <w:rsid w:val="00456F72"/>
    <w:rsid w:val="00461B23"/>
    <w:rsid w:val="00462734"/>
    <w:rsid w:val="004628E8"/>
    <w:rsid w:val="0047120F"/>
    <w:rsid w:val="004728BE"/>
    <w:rsid w:val="0047358C"/>
    <w:rsid w:val="00475B31"/>
    <w:rsid w:val="00477001"/>
    <w:rsid w:val="0048014B"/>
    <w:rsid w:val="0048303A"/>
    <w:rsid w:val="00483870"/>
    <w:rsid w:val="00483FB4"/>
    <w:rsid w:val="0048642D"/>
    <w:rsid w:val="00486DF4"/>
    <w:rsid w:val="00487847"/>
    <w:rsid w:val="004911B2"/>
    <w:rsid w:val="004912D3"/>
    <w:rsid w:val="00491738"/>
    <w:rsid w:val="00494C85"/>
    <w:rsid w:val="00494FE6"/>
    <w:rsid w:val="004955B7"/>
    <w:rsid w:val="004A220E"/>
    <w:rsid w:val="004B46AE"/>
    <w:rsid w:val="004C0234"/>
    <w:rsid w:val="004C13CB"/>
    <w:rsid w:val="004C4DDC"/>
    <w:rsid w:val="004D0BA3"/>
    <w:rsid w:val="004D1E9C"/>
    <w:rsid w:val="004D340A"/>
    <w:rsid w:val="004D6A77"/>
    <w:rsid w:val="004D7E7E"/>
    <w:rsid w:val="004D7F5C"/>
    <w:rsid w:val="004E582D"/>
    <w:rsid w:val="004F0DEB"/>
    <w:rsid w:val="004F1874"/>
    <w:rsid w:val="004F3125"/>
    <w:rsid w:val="004F75AD"/>
    <w:rsid w:val="0050295F"/>
    <w:rsid w:val="00504951"/>
    <w:rsid w:val="005100BF"/>
    <w:rsid w:val="005116CB"/>
    <w:rsid w:val="00511FD2"/>
    <w:rsid w:val="005131EA"/>
    <w:rsid w:val="005141EF"/>
    <w:rsid w:val="0051574F"/>
    <w:rsid w:val="005202AF"/>
    <w:rsid w:val="00522C26"/>
    <w:rsid w:val="0052607E"/>
    <w:rsid w:val="00526F71"/>
    <w:rsid w:val="00530592"/>
    <w:rsid w:val="005306A6"/>
    <w:rsid w:val="00531C42"/>
    <w:rsid w:val="0053214B"/>
    <w:rsid w:val="00532AA6"/>
    <w:rsid w:val="00534093"/>
    <w:rsid w:val="005364A6"/>
    <w:rsid w:val="005411EC"/>
    <w:rsid w:val="00542F18"/>
    <w:rsid w:val="0054407C"/>
    <w:rsid w:val="005443AD"/>
    <w:rsid w:val="00544B3D"/>
    <w:rsid w:val="00544D95"/>
    <w:rsid w:val="00545E98"/>
    <w:rsid w:val="00553AE0"/>
    <w:rsid w:val="00554B16"/>
    <w:rsid w:val="00554FFB"/>
    <w:rsid w:val="00566A9E"/>
    <w:rsid w:val="005703D4"/>
    <w:rsid w:val="00571F60"/>
    <w:rsid w:val="00573F70"/>
    <w:rsid w:val="00583F14"/>
    <w:rsid w:val="0058627F"/>
    <w:rsid w:val="00587704"/>
    <w:rsid w:val="00592EA2"/>
    <w:rsid w:val="0059312B"/>
    <w:rsid w:val="00594362"/>
    <w:rsid w:val="005A123C"/>
    <w:rsid w:val="005A75AC"/>
    <w:rsid w:val="005B00BD"/>
    <w:rsid w:val="005B0DAA"/>
    <w:rsid w:val="005B2909"/>
    <w:rsid w:val="005B2BAC"/>
    <w:rsid w:val="005B6950"/>
    <w:rsid w:val="005B6A86"/>
    <w:rsid w:val="005C00F4"/>
    <w:rsid w:val="005C0340"/>
    <w:rsid w:val="005C1341"/>
    <w:rsid w:val="005C1455"/>
    <w:rsid w:val="005C263F"/>
    <w:rsid w:val="005C2F65"/>
    <w:rsid w:val="005C64C8"/>
    <w:rsid w:val="005C7125"/>
    <w:rsid w:val="005C71F2"/>
    <w:rsid w:val="005C7FA2"/>
    <w:rsid w:val="005D1667"/>
    <w:rsid w:val="005D19E2"/>
    <w:rsid w:val="005D252A"/>
    <w:rsid w:val="005E2EB0"/>
    <w:rsid w:val="005F1693"/>
    <w:rsid w:val="0060098A"/>
    <w:rsid w:val="0060116E"/>
    <w:rsid w:val="00603639"/>
    <w:rsid w:val="006054DE"/>
    <w:rsid w:val="00610A7B"/>
    <w:rsid w:val="006162A6"/>
    <w:rsid w:val="00617661"/>
    <w:rsid w:val="0062147C"/>
    <w:rsid w:val="00623077"/>
    <w:rsid w:val="00626564"/>
    <w:rsid w:val="00626B61"/>
    <w:rsid w:val="00633D57"/>
    <w:rsid w:val="00634143"/>
    <w:rsid w:val="00634C40"/>
    <w:rsid w:val="0063594E"/>
    <w:rsid w:val="00636F65"/>
    <w:rsid w:val="0064354E"/>
    <w:rsid w:val="00644990"/>
    <w:rsid w:val="00645505"/>
    <w:rsid w:val="0064662A"/>
    <w:rsid w:val="00650B3A"/>
    <w:rsid w:val="0065257B"/>
    <w:rsid w:val="00653CC2"/>
    <w:rsid w:val="00665AFF"/>
    <w:rsid w:val="0066639C"/>
    <w:rsid w:val="006671B3"/>
    <w:rsid w:val="00671E72"/>
    <w:rsid w:val="0067600F"/>
    <w:rsid w:val="00680606"/>
    <w:rsid w:val="00682893"/>
    <w:rsid w:val="00684D61"/>
    <w:rsid w:val="006874C2"/>
    <w:rsid w:val="00690B7B"/>
    <w:rsid w:val="006946DB"/>
    <w:rsid w:val="00696A8F"/>
    <w:rsid w:val="00696B5D"/>
    <w:rsid w:val="006A064A"/>
    <w:rsid w:val="006A3E14"/>
    <w:rsid w:val="006A445E"/>
    <w:rsid w:val="006A56E7"/>
    <w:rsid w:val="006A76DF"/>
    <w:rsid w:val="006B611C"/>
    <w:rsid w:val="006C07CE"/>
    <w:rsid w:val="006C2B1E"/>
    <w:rsid w:val="006C6C7A"/>
    <w:rsid w:val="006C7080"/>
    <w:rsid w:val="006C7F44"/>
    <w:rsid w:val="006D22EE"/>
    <w:rsid w:val="006D3AD6"/>
    <w:rsid w:val="006D5F38"/>
    <w:rsid w:val="006D6F4C"/>
    <w:rsid w:val="006E15DC"/>
    <w:rsid w:val="006E309B"/>
    <w:rsid w:val="006E781C"/>
    <w:rsid w:val="006F080B"/>
    <w:rsid w:val="006F2053"/>
    <w:rsid w:val="006F3588"/>
    <w:rsid w:val="006F6952"/>
    <w:rsid w:val="00705656"/>
    <w:rsid w:val="007147D5"/>
    <w:rsid w:val="0071538A"/>
    <w:rsid w:val="00715814"/>
    <w:rsid w:val="007158BF"/>
    <w:rsid w:val="0071657D"/>
    <w:rsid w:val="00722192"/>
    <w:rsid w:val="007223AD"/>
    <w:rsid w:val="007263CF"/>
    <w:rsid w:val="0073361F"/>
    <w:rsid w:val="00733A64"/>
    <w:rsid w:val="00733F3A"/>
    <w:rsid w:val="00736570"/>
    <w:rsid w:val="00741F1F"/>
    <w:rsid w:val="00742028"/>
    <w:rsid w:val="00742E4A"/>
    <w:rsid w:val="00746211"/>
    <w:rsid w:val="007524EB"/>
    <w:rsid w:val="007535FA"/>
    <w:rsid w:val="0075474C"/>
    <w:rsid w:val="00767B72"/>
    <w:rsid w:val="00767EA6"/>
    <w:rsid w:val="007724CA"/>
    <w:rsid w:val="007809A6"/>
    <w:rsid w:val="00781A96"/>
    <w:rsid w:val="00781F13"/>
    <w:rsid w:val="0078475A"/>
    <w:rsid w:val="00784C25"/>
    <w:rsid w:val="007874FE"/>
    <w:rsid w:val="00790EA6"/>
    <w:rsid w:val="007930C2"/>
    <w:rsid w:val="007A1AB3"/>
    <w:rsid w:val="007A220F"/>
    <w:rsid w:val="007A44E0"/>
    <w:rsid w:val="007B0985"/>
    <w:rsid w:val="007B1245"/>
    <w:rsid w:val="007B630E"/>
    <w:rsid w:val="007C50ED"/>
    <w:rsid w:val="007C7211"/>
    <w:rsid w:val="007D1564"/>
    <w:rsid w:val="007D1E12"/>
    <w:rsid w:val="007D60E5"/>
    <w:rsid w:val="007E2A31"/>
    <w:rsid w:val="007E2AEF"/>
    <w:rsid w:val="007E49C6"/>
    <w:rsid w:val="007E7462"/>
    <w:rsid w:val="007F0761"/>
    <w:rsid w:val="007F4F9B"/>
    <w:rsid w:val="007F70E2"/>
    <w:rsid w:val="00803760"/>
    <w:rsid w:val="00805D68"/>
    <w:rsid w:val="00807902"/>
    <w:rsid w:val="00824C3D"/>
    <w:rsid w:val="00825700"/>
    <w:rsid w:val="008259CC"/>
    <w:rsid w:val="00826264"/>
    <w:rsid w:val="008262F0"/>
    <w:rsid w:val="00827FBD"/>
    <w:rsid w:val="008350F3"/>
    <w:rsid w:val="00835EFE"/>
    <w:rsid w:val="008413D0"/>
    <w:rsid w:val="008448A0"/>
    <w:rsid w:val="00844D30"/>
    <w:rsid w:val="008465EE"/>
    <w:rsid w:val="0085592E"/>
    <w:rsid w:val="00860949"/>
    <w:rsid w:val="00864DE7"/>
    <w:rsid w:val="0086652C"/>
    <w:rsid w:val="00866A57"/>
    <w:rsid w:val="00867278"/>
    <w:rsid w:val="00874624"/>
    <w:rsid w:val="00877ADA"/>
    <w:rsid w:val="008808A6"/>
    <w:rsid w:val="008951B7"/>
    <w:rsid w:val="008959E5"/>
    <w:rsid w:val="00897DD5"/>
    <w:rsid w:val="008A348E"/>
    <w:rsid w:val="008B148C"/>
    <w:rsid w:val="008B526E"/>
    <w:rsid w:val="008B570B"/>
    <w:rsid w:val="008B5BC0"/>
    <w:rsid w:val="008B6F6E"/>
    <w:rsid w:val="008B75A9"/>
    <w:rsid w:val="008C2004"/>
    <w:rsid w:val="008C27AD"/>
    <w:rsid w:val="008C3058"/>
    <w:rsid w:val="008C6FAF"/>
    <w:rsid w:val="008D0735"/>
    <w:rsid w:val="008D0D5D"/>
    <w:rsid w:val="008D27B6"/>
    <w:rsid w:val="008D39E3"/>
    <w:rsid w:val="008D4FB4"/>
    <w:rsid w:val="008D6CEA"/>
    <w:rsid w:val="008E1AE4"/>
    <w:rsid w:val="008E1F21"/>
    <w:rsid w:val="008E2FBF"/>
    <w:rsid w:val="008E354E"/>
    <w:rsid w:val="008E3DE2"/>
    <w:rsid w:val="008E5EE7"/>
    <w:rsid w:val="008F2A73"/>
    <w:rsid w:val="008F6A49"/>
    <w:rsid w:val="008F75D7"/>
    <w:rsid w:val="00900EB1"/>
    <w:rsid w:val="009017CD"/>
    <w:rsid w:val="009048EA"/>
    <w:rsid w:val="00904D59"/>
    <w:rsid w:val="0091202A"/>
    <w:rsid w:val="009138CD"/>
    <w:rsid w:val="00914862"/>
    <w:rsid w:val="0092193C"/>
    <w:rsid w:val="00923DC7"/>
    <w:rsid w:val="0092533A"/>
    <w:rsid w:val="00925D7B"/>
    <w:rsid w:val="00926F26"/>
    <w:rsid w:val="00931269"/>
    <w:rsid w:val="00933622"/>
    <w:rsid w:val="00936FF6"/>
    <w:rsid w:val="00940F2C"/>
    <w:rsid w:val="00943DFA"/>
    <w:rsid w:val="00944A11"/>
    <w:rsid w:val="00944FD0"/>
    <w:rsid w:val="00944FD5"/>
    <w:rsid w:val="009517C5"/>
    <w:rsid w:val="00952225"/>
    <w:rsid w:val="0095341C"/>
    <w:rsid w:val="00953ECE"/>
    <w:rsid w:val="00956205"/>
    <w:rsid w:val="009563C2"/>
    <w:rsid w:val="0096405E"/>
    <w:rsid w:val="009655A1"/>
    <w:rsid w:val="00965741"/>
    <w:rsid w:val="00972218"/>
    <w:rsid w:val="00972EC7"/>
    <w:rsid w:val="00974A87"/>
    <w:rsid w:val="009831F2"/>
    <w:rsid w:val="0098422D"/>
    <w:rsid w:val="0098573E"/>
    <w:rsid w:val="009858B5"/>
    <w:rsid w:val="00986F69"/>
    <w:rsid w:val="00987D24"/>
    <w:rsid w:val="009928FA"/>
    <w:rsid w:val="009954D4"/>
    <w:rsid w:val="00995708"/>
    <w:rsid w:val="00995CEB"/>
    <w:rsid w:val="009973D3"/>
    <w:rsid w:val="009A2097"/>
    <w:rsid w:val="009B308F"/>
    <w:rsid w:val="009B7C29"/>
    <w:rsid w:val="009C02C6"/>
    <w:rsid w:val="009C3864"/>
    <w:rsid w:val="009C791A"/>
    <w:rsid w:val="009C7A1F"/>
    <w:rsid w:val="009D146F"/>
    <w:rsid w:val="009D2396"/>
    <w:rsid w:val="009D5CBA"/>
    <w:rsid w:val="009D61C0"/>
    <w:rsid w:val="009D6E95"/>
    <w:rsid w:val="009E1662"/>
    <w:rsid w:val="009E26C2"/>
    <w:rsid w:val="009E483E"/>
    <w:rsid w:val="009F0B2C"/>
    <w:rsid w:val="009F32CD"/>
    <w:rsid w:val="009F44B2"/>
    <w:rsid w:val="009F47B3"/>
    <w:rsid w:val="009F7E71"/>
    <w:rsid w:val="00A006F3"/>
    <w:rsid w:val="00A014C0"/>
    <w:rsid w:val="00A01E09"/>
    <w:rsid w:val="00A022B1"/>
    <w:rsid w:val="00A02FEE"/>
    <w:rsid w:val="00A04EC8"/>
    <w:rsid w:val="00A10263"/>
    <w:rsid w:val="00A12047"/>
    <w:rsid w:val="00A133EF"/>
    <w:rsid w:val="00A138A0"/>
    <w:rsid w:val="00A24898"/>
    <w:rsid w:val="00A26084"/>
    <w:rsid w:val="00A32716"/>
    <w:rsid w:val="00A3484F"/>
    <w:rsid w:val="00A35FD8"/>
    <w:rsid w:val="00A365E7"/>
    <w:rsid w:val="00A368F1"/>
    <w:rsid w:val="00A411EB"/>
    <w:rsid w:val="00A41920"/>
    <w:rsid w:val="00A42363"/>
    <w:rsid w:val="00A434CF"/>
    <w:rsid w:val="00A4455C"/>
    <w:rsid w:val="00A44764"/>
    <w:rsid w:val="00A44B63"/>
    <w:rsid w:val="00A45083"/>
    <w:rsid w:val="00A622AA"/>
    <w:rsid w:val="00A664FB"/>
    <w:rsid w:val="00A70D5E"/>
    <w:rsid w:val="00A71D0C"/>
    <w:rsid w:val="00A727F5"/>
    <w:rsid w:val="00A74550"/>
    <w:rsid w:val="00A74A0A"/>
    <w:rsid w:val="00A76067"/>
    <w:rsid w:val="00A84DE7"/>
    <w:rsid w:val="00A90129"/>
    <w:rsid w:val="00A91EE7"/>
    <w:rsid w:val="00A95A14"/>
    <w:rsid w:val="00A9610B"/>
    <w:rsid w:val="00AA0613"/>
    <w:rsid w:val="00AA1519"/>
    <w:rsid w:val="00AA27CA"/>
    <w:rsid w:val="00AA7E9A"/>
    <w:rsid w:val="00AB5CC2"/>
    <w:rsid w:val="00AB78A0"/>
    <w:rsid w:val="00AC0BA5"/>
    <w:rsid w:val="00AC0D39"/>
    <w:rsid w:val="00AC1A70"/>
    <w:rsid w:val="00AC1F37"/>
    <w:rsid w:val="00AC20E0"/>
    <w:rsid w:val="00AC326A"/>
    <w:rsid w:val="00AC7D85"/>
    <w:rsid w:val="00AD0B71"/>
    <w:rsid w:val="00AE0C67"/>
    <w:rsid w:val="00AE2803"/>
    <w:rsid w:val="00AE3EE8"/>
    <w:rsid w:val="00AE4A24"/>
    <w:rsid w:val="00AE4CEF"/>
    <w:rsid w:val="00AF1600"/>
    <w:rsid w:val="00AF1D3E"/>
    <w:rsid w:val="00AF3CC5"/>
    <w:rsid w:val="00AF7D20"/>
    <w:rsid w:val="00B03F45"/>
    <w:rsid w:val="00B03FA9"/>
    <w:rsid w:val="00B065B8"/>
    <w:rsid w:val="00B070AD"/>
    <w:rsid w:val="00B15D08"/>
    <w:rsid w:val="00B175EB"/>
    <w:rsid w:val="00B2222E"/>
    <w:rsid w:val="00B22392"/>
    <w:rsid w:val="00B33DB9"/>
    <w:rsid w:val="00B37C4F"/>
    <w:rsid w:val="00B41D14"/>
    <w:rsid w:val="00B576F9"/>
    <w:rsid w:val="00B60737"/>
    <w:rsid w:val="00B61441"/>
    <w:rsid w:val="00B61ACA"/>
    <w:rsid w:val="00B63432"/>
    <w:rsid w:val="00B70215"/>
    <w:rsid w:val="00B750A8"/>
    <w:rsid w:val="00B75EE8"/>
    <w:rsid w:val="00B81115"/>
    <w:rsid w:val="00B8473C"/>
    <w:rsid w:val="00B90074"/>
    <w:rsid w:val="00B91557"/>
    <w:rsid w:val="00B92E54"/>
    <w:rsid w:val="00B93D56"/>
    <w:rsid w:val="00B9406B"/>
    <w:rsid w:val="00B945E0"/>
    <w:rsid w:val="00BA060A"/>
    <w:rsid w:val="00BA0D80"/>
    <w:rsid w:val="00BA7973"/>
    <w:rsid w:val="00BB2B5F"/>
    <w:rsid w:val="00BB4C4F"/>
    <w:rsid w:val="00BB63CE"/>
    <w:rsid w:val="00BC26E3"/>
    <w:rsid w:val="00BC4532"/>
    <w:rsid w:val="00BC51CB"/>
    <w:rsid w:val="00BC6BAC"/>
    <w:rsid w:val="00BD37B4"/>
    <w:rsid w:val="00BD711F"/>
    <w:rsid w:val="00BE041F"/>
    <w:rsid w:val="00BE2AF0"/>
    <w:rsid w:val="00BE37CF"/>
    <w:rsid w:val="00BE7A0C"/>
    <w:rsid w:val="00BF73B4"/>
    <w:rsid w:val="00BF77F5"/>
    <w:rsid w:val="00BF7A77"/>
    <w:rsid w:val="00BF7ED6"/>
    <w:rsid w:val="00C001A0"/>
    <w:rsid w:val="00C00953"/>
    <w:rsid w:val="00C03E69"/>
    <w:rsid w:val="00C044CF"/>
    <w:rsid w:val="00C04A2D"/>
    <w:rsid w:val="00C058FE"/>
    <w:rsid w:val="00C10C11"/>
    <w:rsid w:val="00C10FFF"/>
    <w:rsid w:val="00C13208"/>
    <w:rsid w:val="00C147FA"/>
    <w:rsid w:val="00C152CB"/>
    <w:rsid w:val="00C20189"/>
    <w:rsid w:val="00C218AE"/>
    <w:rsid w:val="00C2523B"/>
    <w:rsid w:val="00C2599E"/>
    <w:rsid w:val="00C30237"/>
    <w:rsid w:val="00C304AB"/>
    <w:rsid w:val="00C37040"/>
    <w:rsid w:val="00C430F1"/>
    <w:rsid w:val="00C4379B"/>
    <w:rsid w:val="00C46805"/>
    <w:rsid w:val="00C47342"/>
    <w:rsid w:val="00C53ED3"/>
    <w:rsid w:val="00C55D01"/>
    <w:rsid w:val="00C56785"/>
    <w:rsid w:val="00C5686C"/>
    <w:rsid w:val="00C571F5"/>
    <w:rsid w:val="00C610B3"/>
    <w:rsid w:val="00C6270D"/>
    <w:rsid w:val="00C67B5B"/>
    <w:rsid w:val="00C703FF"/>
    <w:rsid w:val="00C7096B"/>
    <w:rsid w:val="00C72A89"/>
    <w:rsid w:val="00C72FB3"/>
    <w:rsid w:val="00C80558"/>
    <w:rsid w:val="00C8169D"/>
    <w:rsid w:val="00C81AF0"/>
    <w:rsid w:val="00C825E4"/>
    <w:rsid w:val="00C84503"/>
    <w:rsid w:val="00C8478A"/>
    <w:rsid w:val="00C965D2"/>
    <w:rsid w:val="00C96744"/>
    <w:rsid w:val="00CA334D"/>
    <w:rsid w:val="00CB1830"/>
    <w:rsid w:val="00CB49C1"/>
    <w:rsid w:val="00CB4D13"/>
    <w:rsid w:val="00CB62BF"/>
    <w:rsid w:val="00CB63A3"/>
    <w:rsid w:val="00CB6EBE"/>
    <w:rsid w:val="00CB784D"/>
    <w:rsid w:val="00CC08A0"/>
    <w:rsid w:val="00CC2638"/>
    <w:rsid w:val="00CC761D"/>
    <w:rsid w:val="00CD27EF"/>
    <w:rsid w:val="00CD4F63"/>
    <w:rsid w:val="00CE0DE8"/>
    <w:rsid w:val="00CE2500"/>
    <w:rsid w:val="00CE6BC6"/>
    <w:rsid w:val="00CF2A10"/>
    <w:rsid w:val="00CF4892"/>
    <w:rsid w:val="00CF6C98"/>
    <w:rsid w:val="00CF70B5"/>
    <w:rsid w:val="00D03C9F"/>
    <w:rsid w:val="00D03ED6"/>
    <w:rsid w:val="00D049FC"/>
    <w:rsid w:val="00D07428"/>
    <w:rsid w:val="00D07459"/>
    <w:rsid w:val="00D07F26"/>
    <w:rsid w:val="00D1019F"/>
    <w:rsid w:val="00D1139D"/>
    <w:rsid w:val="00D12A63"/>
    <w:rsid w:val="00D15FFF"/>
    <w:rsid w:val="00D1614B"/>
    <w:rsid w:val="00D1666E"/>
    <w:rsid w:val="00D220D9"/>
    <w:rsid w:val="00D23146"/>
    <w:rsid w:val="00D24503"/>
    <w:rsid w:val="00D26CC8"/>
    <w:rsid w:val="00D26DBF"/>
    <w:rsid w:val="00D27C69"/>
    <w:rsid w:val="00D3336C"/>
    <w:rsid w:val="00D3759F"/>
    <w:rsid w:val="00D4252C"/>
    <w:rsid w:val="00D42CFE"/>
    <w:rsid w:val="00D475A5"/>
    <w:rsid w:val="00D50211"/>
    <w:rsid w:val="00D52635"/>
    <w:rsid w:val="00D53985"/>
    <w:rsid w:val="00D55558"/>
    <w:rsid w:val="00D55AD4"/>
    <w:rsid w:val="00D56509"/>
    <w:rsid w:val="00D57B1A"/>
    <w:rsid w:val="00D654A9"/>
    <w:rsid w:val="00D72ED0"/>
    <w:rsid w:val="00D77728"/>
    <w:rsid w:val="00D81A52"/>
    <w:rsid w:val="00D83E3F"/>
    <w:rsid w:val="00D84775"/>
    <w:rsid w:val="00D8690F"/>
    <w:rsid w:val="00D87AD6"/>
    <w:rsid w:val="00D92A19"/>
    <w:rsid w:val="00D93469"/>
    <w:rsid w:val="00D94465"/>
    <w:rsid w:val="00D960A5"/>
    <w:rsid w:val="00DA1138"/>
    <w:rsid w:val="00DA2B3A"/>
    <w:rsid w:val="00DB038F"/>
    <w:rsid w:val="00DB18A4"/>
    <w:rsid w:val="00DB3878"/>
    <w:rsid w:val="00DB511E"/>
    <w:rsid w:val="00DB5E34"/>
    <w:rsid w:val="00DB671C"/>
    <w:rsid w:val="00DB77C1"/>
    <w:rsid w:val="00DC0053"/>
    <w:rsid w:val="00DC2766"/>
    <w:rsid w:val="00DC4C4E"/>
    <w:rsid w:val="00DC6C05"/>
    <w:rsid w:val="00DD1F8A"/>
    <w:rsid w:val="00DD47E4"/>
    <w:rsid w:val="00DD56D9"/>
    <w:rsid w:val="00DD6930"/>
    <w:rsid w:val="00DD774E"/>
    <w:rsid w:val="00DE343A"/>
    <w:rsid w:val="00DE40E4"/>
    <w:rsid w:val="00DE6C9E"/>
    <w:rsid w:val="00DF4792"/>
    <w:rsid w:val="00DF5F2E"/>
    <w:rsid w:val="00E009CF"/>
    <w:rsid w:val="00E018B1"/>
    <w:rsid w:val="00E06E67"/>
    <w:rsid w:val="00E07B00"/>
    <w:rsid w:val="00E149CF"/>
    <w:rsid w:val="00E14BBA"/>
    <w:rsid w:val="00E16702"/>
    <w:rsid w:val="00E22640"/>
    <w:rsid w:val="00E2270E"/>
    <w:rsid w:val="00E2750D"/>
    <w:rsid w:val="00E324E5"/>
    <w:rsid w:val="00E32EA7"/>
    <w:rsid w:val="00E32FB0"/>
    <w:rsid w:val="00E40882"/>
    <w:rsid w:val="00E43532"/>
    <w:rsid w:val="00E448D0"/>
    <w:rsid w:val="00E4721D"/>
    <w:rsid w:val="00E543AE"/>
    <w:rsid w:val="00E557E5"/>
    <w:rsid w:val="00E60732"/>
    <w:rsid w:val="00E62C5B"/>
    <w:rsid w:val="00E71B94"/>
    <w:rsid w:val="00E72FF4"/>
    <w:rsid w:val="00E73A1D"/>
    <w:rsid w:val="00E767AB"/>
    <w:rsid w:val="00E777CB"/>
    <w:rsid w:val="00E82F27"/>
    <w:rsid w:val="00E84DA5"/>
    <w:rsid w:val="00E8588D"/>
    <w:rsid w:val="00E85F1C"/>
    <w:rsid w:val="00E87547"/>
    <w:rsid w:val="00E91BDD"/>
    <w:rsid w:val="00E9231D"/>
    <w:rsid w:val="00E925A8"/>
    <w:rsid w:val="00E94456"/>
    <w:rsid w:val="00E94508"/>
    <w:rsid w:val="00E95009"/>
    <w:rsid w:val="00E9533E"/>
    <w:rsid w:val="00EA1C6F"/>
    <w:rsid w:val="00EA2623"/>
    <w:rsid w:val="00EA7578"/>
    <w:rsid w:val="00EB1D5B"/>
    <w:rsid w:val="00EB4826"/>
    <w:rsid w:val="00EB556F"/>
    <w:rsid w:val="00EC367A"/>
    <w:rsid w:val="00EC3CC8"/>
    <w:rsid w:val="00EC4323"/>
    <w:rsid w:val="00EC4CED"/>
    <w:rsid w:val="00EC551C"/>
    <w:rsid w:val="00EC622E"/>
    <w:rsid w:val="00ED01BC"/>
    <w:rsid w:val="00ED31EF"/>
    <w:rsid w:val="00ED3851"/>
    <w:rsid w:val="00ED4CD6"/>
    <w:rsid w:val="00ED615A"/>
    <w:rsid w:val="00ED7E16"/>
    <w:rsid w:val="00EE0B56"/>
    <w:rsid w:val="00EE140D"/>
    <w:rsid w:val="00EE322C"/>
    <w:rsid w:val="00EE3B87"/>
    <w:rsid w:val="00EE5159"/>
    <w:rsid w:val="00EF0C7C"/>
    <w:rsid w:val="00EF278B"/>
    <w:rsid w:val="00EF446E"/>
    <w:rsid w:val="00EF4C6C"/>
    <w:rsid w:val="00EF6044"/>
    <w:rsid w:val="00EF6FE3"/>
    <w:rsid w:val="00F04CFC"/>
    <w:rsid w:val="00F071EE"/>
    <w:rsid w:val="00F17685"/>
    <w:rsid w:val="00F17F7B"/>
    <w:rsid w:val="00F2188D"/>
    <w:rsid w:val="00F27B71"/>
    <w:rsid w:val="00F341DF"/>
    <w:rsid w:val="00F362D9"/>
    <w:rsid w:val="00F36514"/>
    <w:rsid w:val="00F40D62"/>
    <w:rsid w:val="00F414A5"/>
    <w:rsid w:val="00F52B37"/>
    <w:rsid w:val="00F5347F"/>
    <w:rsid w:val="00F53C45"/>
    <w:rsid w:val="00F55D2A"/>
    <w:rsid w:val="00F56407"/>
    <w:rsid w:val="00F57A4C"/>
    <w:rsid w:val="00F605CF"/>
    <w:rsid w:val="00F6060A"/>
    <w:rsid w:val="00F62014"/>
    <w:rsid w:val="00F666B0"/>
    <w:rsid w:val="00F6698D"/>
    <w:rsid w:val="00F66AFF"/>
    <w:rsid w:val="00F71216"/>
    <w:rsid w:val="00F71A4C"/>
    <w:rsid w:val="00F71AD9"/>
    <w:rsid w:val="00F73A26"/>
    <w:rsid w:val="00F740AD"/>
    <w:rsid w:val="00F749D2"/>
    <w:rsid w:val="00F76132"/>
    <w:rsid w:val="00F76397"/>
    <w:rsid w:val="00F77E20"/>
    <w:rsid w:val="00F80D8D"/>
    <w:rsid w:val="00F9424B"/>
    <w:rsid w:val="00F9489B"/>
    <w:rsid w:val="00F953A1"/>
    <w:rsid w:val="00F96373"/>
    <w:rsid w:val="00F97E11"/>
    <w:rsid w:val="00F97F50"/>
    <w:rsid w:val="00FA29F6"/>
    <w:rsid w:val="00FA2EC4"/>
    <w:rsid w:val="00FA2F18"/>
    <w:rsid w:val="00FB0E84"/>
    <w:rsid w:val="00FB2891"/>
    <w:rsid w:val="00FB2D99"/>
    <w:rsid w:val="00FB2ED0"/>
    <w:rsid w:val="00FB59DA"/>
    <w:rsid w:val="00FB5F55"/>
    <w:rsid w:val="00FB606F"/>
    <w:rsid w:val="00FB6D1B"/>
    <w:rsid w:val="00FC2C77"/>
    <w:rsid w:val="00FC32DA"/>
    <w:rsid w:val="00FC3BBE"/>
    <w:rsid w:val="00FC6AE3"/>
    <w:rsid w:val="00FD0CF0"/>
    <w:rsid w:val="00FD11D1"/>
    <w:rsid w:val="00FD410D"/>
    <w:rsid w:val="00FD43DD"/>
    <w:rsid w:val="00FD6A89"/>
    <w:rsid w:val="00FD7685"/>
    <w:rsid w:val="00FE0881"/>
    <w:rsid w:val="00FE2C4D"/>
    <w:rsid w:val="00FE4EA2"/>
    <w:rsid w:val="00FE59F3"/>
    <w:rsid w:val="00FF241D"/>
    <w:rsid w:val="00FF2B2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509261"/>
  <w15:docId w15:val="{91779224-31EC-41E3-BA5A-BF5802F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1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19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B5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5"/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5"/>
  </w:style>
  <w:style w:type="character" w:customStyle="1" w:styleId="italic">
    <w:name w:val="italic"/>
    <w:basedOn w:val="DefaultParagraphFont"/>
    <w:rsid w:val="007263CF"/>
    <w:rPr>
      <w:i/>
      <w:iCs/>
    </w:rPr>
  </w:style>
  <w:style w:type="paragraph" w:styleId="ListParagraph">
    <w:name w:val="List Paragraph"/>
    <w:basedOn w:val="Normal"/>
    <w:uiPriority w:val="34"/>
    <w:qFormat/>
    <w:rsid w:val="003F0564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E32FB0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labojumupamats">
    <w:name w:val="labojumu_pamats"/>
    <w:basedOn w:val="Normal"/>
    <w:rsid w:val="002C499F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Body">
    <w:name w:val="Body"/>
    <w:rsid w:val="00A04EC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73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37</TAP>
    <Kategorija xmlns="2e5bb04e-596e-45bd-9003-43ca78b1ba16">Likumprojekts</Kategorij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374B6-8904-43D3-B1EB-1B700A666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0CBFE-9DA4-4051-AF72-A264352EB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63DBE-7726-4507-976B-41D1057F582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46DC5C54-FF87-4826-A16A-CD4C958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5474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instrumentu tirgus likumā</vt:lpstr>
    </vt:vector>
  </TitlesOfParts>
  <Manager/>
  <Company>Finanšu Ministrija</Company>
  <LinksUpToDate>false</LinksUpToDate>
  <CharactersWithSpaces>8578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likumā</dc:title>
  <dc:subject>Likumprojekts</dc:subject>
  <dc:creator>Dāvids Mucenieks</dc:creator>
  <cp:keywords>Likumprojekts</cp:keywords>
  <dc:description>67083935, davids.mucenieks@fm.gov.lv</dc:description>
  <cp:lastModifiedBy>Inese Lismane</cp:lastModifiedBy>
  <cp:revision>24</cp:revision>
  <cp:lastPrinted>2020-09-14T06:20:00Z</cp:lastPrinted>
  <dcterms:created xsi:type="dcterms:W3CDTF">2020-12-22T11:51:00Z</dcterms:created>
  <dcterms:modified xsi:type="dcterms:W3CDTF">2021-01-20T06:37:00Z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